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12304" w14:textId="77777777" w:rsidR="000904DF" w:rsidRPr="00EC24F7" w:rsidRDefault="000904DF" w:rsidP="000904DF">
      <w:pPr>
        <w:pStyle w:val="Title"/>
        <w:spacing w:line="276" w:lineRule="auto"/>
        <w:ind w:left="567" w:hanging="567"/>
        <w:jc w:val="left"/>
        <w:rPr>
          <w:rFonts w:cs="Arial"/>
          <w:sz w:val="24"/>
          <w:szCs w:val="24"/>
          <w:lang w:val="en-GB"/>
        </w:rPr>
      </w:pPr>
      <w:r w:rsidRPr="00EC24F7">
        <w:rPr>
          <w:rFonts w:cs="Arial"/>
          <w:sz w:val="24"/>
          <w:szCs w:val="24"/>
          <w:lang w:val="en-GB"/>
        </w:rPr>
        <w:t>IN THE HIGH COURT OF SOUTH AFRICA</w:t>
      </w:r>
    </w:p>
    <w:p w14:paraId="3D79347C" w14:textId="77777777" w:rsidR="000904DF" w:rsidRPr="00EC24F7" w:rsidRDefault="000904DF" w:rsidP="000904DF">
      <w:pPr>
        <w:pStyle w:val="Title"/>
        <w:spacing w:line="276" w:lineRule="auto"/>
        <w:ind w:left="567" w:hanging="567"/>
        <w:jc w:val="left"/>
        <w:rPr>
          <w:rFonts w:cs="Arial"/>
          <w:sz w:val="24"/>
          <w:szCs w:val="24"/>
          <w:lang w:val="en-GB"/>
        </w:rPr>
      </w:pPr>
      <w:r w:rsidRPr="00EC24F7">
        <w:rPr>
          <w:rFonts w:cs="Arial"/>
          <w:sz w:val="24"/>
          <w:szCs w:val="24"/>
          <w:lang w:val="en-GB"/>
        </w:rPr>
        <w:t>(WESTERN CAPE DIVISION, CAPE TOWN)</w:t>
      </w:r>
    </w:p>
    <w:p w14:paraId="6DDF3F54" w14:textId="77777777" w:rsidR="000904DF" w:rsidRPr="00EC24F7" w:rsidRDefault="000904DF" w:rsidP="006435D8">
      <w:pPr>
        <w:rPr>
          <w:rFonts w:cs="Arial"/>
          <w:lang w:val="en-GB"/>
        </w:rPr>
      </w:pPr>
    </w:p>
    <w:p w14:paraId="288D61E4" w14:textId="77777777" w:rsidR="000904DF" w:rsidRPr="00EC24F7" w:rsidRDefault="000904DF" w:rsidP="006435D8">
      <w:pPr>
        <w:jc w:val="right"/>
        <w:rPr>
          <w:rFonts w:cs="Arial"/>
          <w:b/>
          <w:lang w:val="en-GB"/>
        </w:rPr>
      </w:pPr>
      <w:r w:rsidRPr="00EC24F7">
        <w:rPr>
          <w:rFonts w:cs="Arial"/>
          <w:lang w:val="en-GB"/>
        </w:rPr>
        <w:t xml:space="preserve">Case No: </w:t>
      </w:r>
      <w:r w:rsidRPr="00EC24F7">
        <w:rPr>
          <w:rFonts w:eastAsiaTheme="minorHAnsi" w:cs="Arial"/>
          <w:b/>
          <w:bCs/>
          <w:lang w:val="en-GB"/>
        </w:rPr>
        <w:t>2025-063967</w:t>
      </w:r>
    </w:p>
    <w:p w14:paraId="52F142B7" w14:textId="77777777" w:rsidR="000904DF" w:rsidRPr="00EC24F7" w:rsidRDefault="000904DF" w:rsidP="006435D8">
      <w:pPr>
        <w:rPr>
          <w:rFonts w:cs="Arial"/>
          <w:lang w:val="en-GB" w:eastAsia="ja-JP"/>
        </w:rPr>
      </w:pPr>
    </w:p>
    <w:p w14:paraId="0C994CFC" w14:textId="77777777" w:rsidR="000904DF" w:rsidRPr="00EC24F7" w:rsidRDefault="000904DF" w:rsidP="006435D8">
      <w:pPr>
        <w:ind w:left="567" w:hanging="567"/>
        <w:rPr>
          <w:rFonts w:cs="Arial"/>
          <w:lang w:val="en-GB" w:eastAsia="ja-JP"/>
        </w:rPr>
      </w:pPr>
      <w:r w:rsidRPr="00EC24F7">
        <w:rPr>
          <w:rFonts w:cs="Arial"/>
          <w:lang w:val="en-GB" w:eastAsia="ja-JP"/>
        </w:rPr>
        <w:t>In the matter between:</w:t>
      </w:r>
    </w:p>
    <w:p w14:paraId="702B259A" w14:textId="77777777" w:rsidR="000904DF" w:rsidRPr="00EC24F7" w:rsidRDefault="000904DF" w:rsidP="006435D8">
      <w:pPr>
        <w:ind w:left="567" w:hanging="567"/>
        <w:rPr>
          <w:rFonts w:cs="Arial"/>
          <w:lang w:val="en-GB"/>
        </w:rPr>
      </w:pPr>
    </w:p>
    <w:tbl>
      <w:tblPr>
        <w:tblW w:w="0" w:type="auto"/>
        <w:tblInd w:w="-34" w:type="dxa"/>
        <w:tblLook w:val="04A0" w:firstRow="1" w:lastRow="0" w:firstColumn="1" w:lastColumn="0" w:noHBand="0" w:noVBand="1"/>
      </w:tblPr>
      <w:tblGrid>
        <w:gridCol w:w="6271"/>
        <w:gridCol w:w="2779"/>
      </w:tblGrid>
      <w:tr w:rsidR="00EC24F7" w:rsidRPr="00EC24F7" w14:paraId="55C6BCBE" w14:textId="77777777">
        <w:tc>
          <w:tcPr>
            <w:tcW w:w="6271" w:type="dxa"/>
          </w:tcPr>
          <w:p w14:paraId="424E7EC7" w14:textId="77777777" w:rsidR="000904DF" w:rsidRPr="00EC24F7" w:rsidRDefault="000904DF">
            <w:pPr>
              <w:pStyle w:val="NoSpacing"/>
              <w:spacing w:before="120" w:after="120" w:line="360" w:lineRule="auto"/>
              <w:rPr>
                <w:rFonts w:ascii="Arial" w:hAnsi="Arial" w:cs="Arial"/>
                <w:b/>
                <w:bCs/>
              </w:rPr>
            </w:pPr>
            <w:r w:rsidRPr="00EC24F7">
              <w:rPr>
                <w:rFonts w:ascii="Arial" w:eastAsiaTheme="minorHAnsi" w:hAnsi="Arial" w:cs="Arial"/>
                <w:b/>
                <w:bCs/>
              </w:rPr>
              <w:t>TRANSNET SOC LTD</w:t>
            </w:r>
          </w:p>
        </w:tc>
        <w:tc>
          <w:tcPr>
            <w:tcW w:w="2779" w:type="dxa"/>
          </w:tcPr>
          <w:p w14:paraId="58627F9E" w14:textId="77777777" w:rsidR="000904DF" w:rsidRPr="00EC24F7" w:rsidRDefault="000904DF">
            <w:pPr>
              <w:tabs>
                <w:tab w:val="right" w:pos="8646"/>
              </w:tabs>
              <w:spacing w:before="120" w:after="120" w:line="360" w:lineRule="auto"/>
              <w:jc w:val="right"/>
              <w:rPr>
                <w:rFonts w:cs="Arial"/>
                <w:lang w:val="en-GB"/>
              </w:rPr>
            </w:pPr>
            <w:r w:rsidRPr="00EC24F7">
              <w:rPr>
                <w:rFonts w:cs="Arial"/>
                <w:lang w:val="en-GB"/>
              </w:rPr>
              <w:t>Applicant</w:t>
            </w:r>
          </w:p>
        </w:tc>
      </w:tr>
      <w:tr w:rsidR="00EC24F7" w:rsidRPr="00EC24F7" w14:paraId="386FC93D" w14:textId="77777777">
        <w:tc>
          <w:tcPr>
            <w:tcW w:w="6271" w:type="dxa"/>
          </w:tcPr>
          <w:p w14:paraId="4443B7E3" w14:textId="77777777" w:rsidR="000904DF" w:rsidRPr="00EC24F7" w:rsidRDefault="000904DF">
            <w:pPr>
              <w:tabs>
                <w:tab w:val="right" w:pos="8646"/>
              </w:tabs>
              <w:spacing w:before="120" w:after="120"/>
              <w:rPr>
                <w:rFonts w:cs="Arial"/>
                <w:lang w:val="en-GB"/>
              </w:rPr>
            </w:pPr>
          </w:p>
          <w:p w14:paraId="74F26AC2" w14:textId="77777777" w:rsidR="000904DF" w:rsidRPr="00EC24F7" w:rsidRDefault="000904DF">
            <w:pPr>
              <w:tabs>
                <w:tab w:val="right" w:pos="8646"/>
              </w:tabs>
              <w:spacing w:before="120" w:after="120"/>
              <w:rPr>
                <w:rFonts w:cs="Arial"/>
                <w:lang w:val="en-GB"/>
              </w:rPr>
            </w:pPr>
            <w:r w:rsidRPr="00EC24F7">
              <w:rPr>
                <w:rFonts w:cs="Arial"/>
                <w:lang w:val="en-GB"/>
              </w:rPr>
              <w:t>and</w:t>
            </w:r>
          </w:p>
          <w:p w14:paraId="12F698E1" w14:textId="77777777" w:rsidR="000904DF" w:rsidRPr="00EC24F7" w:rsidRDefault="000904DF">
            <w:pPr>
              <w:tabs>
                <w:tab w:val="right" w:pos="8646"/>
              </w:tabs>
              <w:spacing w:before="120" w:after="120"/>
              <w:rPr>
                <w:rFonts w:cs="Arial"/>
                <w:lang w:val="en-GB"/>
              </w:rPr>
            </w:pPr>
          </w:p>
        </w:tc>
        <w:tc>
          <w:tcPr>
            <w:tcW w:w="2779" w:type="dxa"/>
          </w:tcPr>
          <w:p w14:paraId="1953A1B8" w14:textId="77777777" w:rsidR="000904DF" w:rsidRPr="00EC24F7" w:rsidRDefault="000904DF">
            <w:pPr>
              <w:tabs>
                <w:tab w:val="right" w:pos="8646"/>
              </w:tabs>
              <w:spacing w:before="120" w:after="120"/>
              <w:jc w:val="right"/>
              <w:rPr>
                <w:rFonts w:cs="Arial"/>
                <w:lang w:val="en-GB"/>
              </w:rPr>
            </w:pPr>
          </w:p>
        </w:tc>
      </w:tr>
      <w:tr w:rsidR="00EC24F7" w:rsidRPr="00EC24F7" w14:paraId="1A16DC39" w14:textId="77777777">
        <w:tc>
          <w:tcPr>
            <w:tcW w:w="6271" w:type="dxa"/>
          </w:tcPr>
          <w:p w14:paraId="3388083F" w14:textId="1DE6BB8E" w:rsidR="000904DF" w:rsidRPr="00EC24F7" w:rsidRDefault="000904DF">
            <w:pPr>
              <w:autoSpaceDE w:val="0"/>
              <w:autoSpaceDN w:val="0"/>
              <w:adjustRightInd w:val="0"/>
              <w:spacing w:before="120" w:after="120" w:line="360" w:lineRule="auto"/>
              <w:jc w:val="both"/>
              <w:rPr>
                <w:rFonts w:eastAsiaTheme="minorHAnsi" w:cs="Arial"/>
                <w:b/>
                <w:bCs/>
                <w:lang w:val="en-GB"/>
              </w:rPr>
            </w:pPr>
            <w:r w:rsidRPr="00EC24F7">
              <w:rPr>
                <w:rFonts w:eastAsiaTheme="minorHAnsi" w:cs="Arial"/>
                <w:b/>
                <w:bCs/>
                <w:lang w:val="en-GB"/>
              </w:rPr>
              <w:t xml:space="preserve">THOSE PERSONS IDENTIFIED IN ANNEXURES </w:t>
            </w:r>
            <w:r w:rsidR="00AC2D65" w:rsidRPr="00EC24F7">
              <w:rPr>
                <w:rFonts w:eastAsiaTheme="minorHAnsi" w:cs="Arial"/>
                <w:b/>
                <w:bCs/>
                <w:lang w:val="en-GB"/>
              </w:rPr>
              <w:t>‘</w:t>
            </w:r>
            <w:r w:rsidRPr="00EC24F7">
              <w:rPr>
                <w:rFonts w:eastAsiaTheme="minorHAnsi" w:cs="Arial"/>
                <w:b/>
                <w:bCs/>
                <w:lang w:val="en-GB"/>
              </w:rPr>
              <w:t>F1</w:t>
            </w:r>
            <w:r w:rsidR="00AC2D65" w:rsidRPr="00EC24F7">
              <w:rPr>
                <w:rFonts w:eastAsiaTheme="minorHAnsi" w:cs="Arial"/>
                <w:b/>
                <w:bCs/>
                <w:lang w:val="en-GB"/>
              </w:rPr>
              <w:t>’</w:t>
            </w:r>
            <w:r w:rsidRPr="00EC24F7">
              <w:rPr>
                <w:rFonts w:eastAsiaTheme="minorHAnsi" w:cs="Arial"/>
                <w:b/>
                <w:bCs/>
                <w:lang w:val="en-GB"/>
              </w:rPr>
              <w:t xml:space="preserve"> TO </w:t>
            </w:r>
            <w:r w:rsidR="00AC2D65" w:rsidRPr="00EC24F7">
              <w:rPr>
                <w:rFonts w:eastAsiaTheme="minorHAnsi" w:cs="Arial"/>
                <w:b/>
                <w:bCs/>
                <w:lang w:val="en-GB"/>
              </w:rPr>
              <w:t>‘</w:t>
            </w:r>
            <w:r w:rsidRPr="00EC24F7">
              <w:rPr>
                <w:rFonts w:eastAsiaTheme="minorHAnsi" w:cs="Arial"/>
                <w:b/>
                <w:bCs/>
                <w:lang w:val="en-GB"/>
              </w:rPr>
              <w:t>F10</w:t>
            </w:r>
            <w:r w:rsidR="00AC2D65" w:rsidRPr="00EC24F7">
              <w:rPr>
                <w:rFonts w:eastAsiaTheme="minorHAnsi" w:cs="Arial"/>
                <w:b/>
                <w:bCs/>
                <w:lang w:val="en-GB"/>
              </w:rPr>
              <w:t>’</w:t>
            </w:r>
            <w:r w:rsidRPr="00EC24F7">
              <w:rPr>
                <w:rFonts w:eastAsiaTheme="minorHAnsi" w:cs="Arial"/>
                <w:b/>
                <w:bCs/>
                <w:lang w:val="en-GB"/>
              </w:rPr>
              <w:t xml:space="preserve"> TO THIS APPLICATION WHOSE FULL AND FURTHER PARTICULARS ARE UNKNOWN TO THE APPLICANT AND WHO ARE UNLAWFULLY OCCUPYING THE APPLICANT’S PROPERTY NAMELY PORTION OF REMAINDER OF ERF 10256, CAPE TOWN AT WOODSTOCK, ERF 15201 CAPE TOWN AT SALT RIVER AND ERF 164070 (A PORTION OF ERF 10256) CAPE TOWN AT WOODSTOCK</w:t>
            </w:r>
          </w:p>
        </w:tc>
        <w:tc>
          <w:tcPr>
            <w:tcW w:w="2779" w:type="dxa"/>
          </w:tcPr>
          <w:p w14:paraId="04B11F9F" w14:textId="77777777" w:rsidR="000904DF" w:rsidRPr="00EC24F7" w:rsidRDefault="000904DF">
            <w:pPr>
              <w:tabs>
                <w:tab w:val="right" w:pos="8646"/>
              </w:tabs>
              <w:spacing w:before="120" w:after="120" w:line="360" w:lineRule="auto"/>
              <w:jc w:val="right"/>
              <w:rPr>
                <w:rFonts w:cs="Arial"/>
                <w:lang w:val="en-GB"/>
              </w:rPr>
            </w:pPr>
            <w:r w:rsidRPr="00EC24F7">
              <w:rPr>
                <w:rFonts w:cs="Arial"/>
                <w:lang w:val="en-GB" w:eastAsia="ja-JP"/>
              </w:rPr>
              <w:t>First Respondent</w:t>
            </w:r>
          </w:p>
        </w:tc>
      </w:tr>
      <w:tr w:rsidR="00EC24F7" w:rsidRPr="00EC24F7" w14:paraId="4A710788" w14:textId="77777777">
        <w:tc>
          <w:tcPr>
            <w:tcW w:w="6271" w:type="dxa"/>
          </w:tcPr>
          <w:p w14:paraId="7A0B38CA" w14:textId="77777777" w:rsidR="000904DF" w:rsidRPr="00EC24F7" w:rsidRDefault="000904DF">
            <w:pPr>
              <w:autoSpaceDE w:val="0"/>
              <w:autoSpaceDN w:val="0"/>
              <w:adjustRightInd w:val="0"/>
              <w:spacing w:before="120" w:after="120" w:line="360" w:lineRule="auto"/>
              <w:jc w:val="both"/>
              <w:rPr>
                <w:rFonts w:eastAsiaTheme="minorHAnsi" w:cs="Arial"/>
                <w:b/>
                <w:bCs/>
                <w:lang w:val="en-GB"/>
              </w:rPr>
            </w:pPr>
            <w:r w:rsidRPr="00EC24F7">
              <w:rPr>
                <w:rFonts w:eastAsiaTheme="minorHAnsi" w:cs="Arial"/>
                <w:b/>
                <w:bCs/>
                <w:lang w:val="en-GB"/>
              </w:rPr>
              <w:t>THOSE PERSONS WHOSE FULL AND FURTHER PARTICULARS ARE UNKNOWN TO THE APPLICANT AND WHO ARE UNLAWFULLY OCCUPYING THE APPLICANT’S PROPERTY, NAMELY PORTION OF REMAINDER OF ERF 10256, CAPE TOWN AT WOODSTOCK, ERF 15201 CAPE TOWN AT SALT RIVER AND ERF 164070 (A PORTION OF ERF 10256) CAPE TOWN AT WOODSTOCK</w:t>
            </w:r>
          </w:p>
        </w:tc>
        <w:tc>
          <w:tcPr>
            <w:tcW w:w="2779" w:type="dxa"/>
          </w:tcPr>
          <w:p w14:paraId="1B8EA588" w14:textId="77777777" w:rsidR="000904DF" w:rsidRPr="00EC24F7" w:rsidRDefault="000904DF">
            <w:pPr>
              <w:tabs>
                <w:tab w:val="right" w:pos="8646"/>
              </w:tabs>
              <w:spacing w:before="120" w:after="120" w:line="360" w:lineRule="auto"/>
              <w:jc w:val="right"/>
              <w:rPr>
                <w:rFonts w:cs="Arial"/>
                <w:lang w:val="en-GB"/>
              </w:rPr>
            </w:pPr>
            <w:r w:rsidRPr="00EC24F7">
              <w:rPr>
                <w:rFonts w:cs="Arial"/>
                <w:lang w:val="en-GB" w:eastAsia="ja-JP"/>
              </w:rPr>
              <w:t>Second Respondent</w:t>
            </w:r>
          </w:p>
        </w:tc>
      </w:tr>
      <w:tr w:rsidR="00EC24F7" w:rsidRPr="00EC24F7" w14:paraId="50CFCD8D" w14:textId="77777777">
        <w:tc>
          <w:tcPr>
            <w:tcW w:w="6271" w:type="dxa"/>
          </w:tcPr>
          <w:p w14:paraId="6D3ABDED" w14:textId="77777777" w:rsidR="000904DF" w:rsidRPr="00EC24F7" w:rsidRDefault="000904DF">
            <w:pPr>
              <w:tabs>
                <w:tab w:val="right" w:pos="8646"/>
              </w:tabs>
              <w:spacing w:before="120" w:after="120" w:line="360" w:lineRule="auto"/>
              <w:rPr>
                <w:rFonts w:cs="Arial"/>
                <w:b/>
                <w:lang w:val="en-GB"/>
              </w:rPr>
            </w:pPr>
            <w:r w:rsidRPr="00EC24F7">
              <w:rPr>
                <w:rFonts w:cs="Arial"/>
                <w:b/>
                <w:lang w:val="en-GB"/>
              </w:rPr>
              <w:t>THE CITY OF CAPE TOWN</w:t>
            </w:r>
          </w:p>
        </w:tc>
        <w:tc>
          <w:tcPr>
            <w:tcW w:w="2779" w:type="dxa"/>
          </w:tcPr>
          <w:p w14:paraId="01951EEB" w14:textId="77777777" w:rsidR="000904DF" w:rsidRPr="00EC24F7" w:rsidRDefault="000904DF">
            <w:pPr>
              <w:tabs>
                <w:tab w:val="right" w:pos="8646"/>
              </w:tabs>
              <w:spacing w:before="120" w:after="120" w:line="360" w:lineRule="auto"/>
              <w:jc w:val="right"/>
              <w:rPr>
                <w:rFonts w:cs="Arial"/>
                <w:lang w:val="en-GB" w:eastAsia="ja-JP"/>
              </w:rPr>
            </w:pPr>
            <w:r w:rsidRPr="00EC24F7">
              <w:rPr>
                <w:rFonts w:cs="Arial"/>
                <w:lang w:val="en-GB" w:eastAsia="ja-JP"/>
              </w:rPr>
              <w:t>Third Respondent</w:t>
            </w:r>
          </w:p>
        </w:tc>
      </w:tr>
      <w:tr w:rsidR="00EC24F7" w:rsidRPr="00EC24F7" w14:paraId="04DADB22" w14:textId="77777777">
        <w:tc>
          <w:tcPr>
            <w:tcW w:w="6271" w:type="dxa"/>
          </w:tcPr>
          <w:p w14:paraId="4F0D6C32" w14:textId="77777777" w:rsidR="000904DF" w:rsidRPr="00EC24F7" w:rsidRDefault="000904DF">
            <w:pPr>
              <w:tabs>
                <w:tab w:val="right" w:pos="8646"/>
              </w:tabs>
              <w:spacing w:before="120" w:after="120" w:line="360" w:lineRule="auto"/>
              <w:rPr>
                <w:rFonts w:cs="Arial"/>
                <w:b/>
                <w:lang w:val="en-GB"/>
              </w:rPr>
            </w:pPr>
            <w:r w:rsidRPr="00EC24F7">
              <w:rPr>
                <w:rFonts w:cs="Arial"/>
                <w:b/>
                <w:bCs/>
                <w:lang w:val="en-GB"/>
              </w:rPr>
              <w:t>THE MINISTER OF HOME AFFAIRS</w:t>
            </w:r>
          </w:p>
        </w:tc>
        <w:tc>
          <w:tcPr>
            <w:tcW w:w="2779" w:type="dxa"/>
          </w:tcPr>
          <w:p w14:paraId="50FC9487" w14:textId="77777777" w:rsidR="000904DF" w:rsidRPr="00EC24F7" w:rsidRDefault="000904DF">
            <w:pPr>
              <w:tabs>
                <w:tab w:val="right" w:pos="8646"/>
              </w:tabs>
              <w:spacing w:before="120" w:after="120" w:line="360" w:lineRule="auto"/>
              <w:jc w:val="right"/>
              <w:rPr>
                <w:rFonts w:cs="Arial"/>
                <w:lang w:val="en-GB" w:eastAsia="ja-JP"/>
              </w:rPr>
            </w:pPr>
            <w:r w:rsidRPr="00EC24F7">
              <w:rPr>
                <w:rFonts w:cs="Arial"/>
                <w:lang w:val="en-GB" w:eastAsia="ja-JP"/>
              </w:rPr>
              <w:t>Fourth Respondent</w:t>
            </w:r>
          </w:p>
        </w:tc>
      </w:tr>
    </w:tbl>
    <w:p w14:paraId="5EA6190A" w14:textId="77777777" w:rsidR="000904DF" w:rsidRPr="00EC24F7" w:rsidRDefault="000904DF" w:rsidP="000904DF">
      <w:pPr>
        <w:pBdr>
          <w:bottom w:val="single" w:sz="12" w:space="1" w:color="auto"/>
        </w:pBdr>
        <w:rPr>
          <w:rFonts w:cs="Arial"/>
          <w:lang w:val="en-GB"/>
        </w:rPr>
      </w:pPr>
    </w:p>
    <w:p w14:paraId="251B6E19" w14:textId="77777777" w:rsidR="000904DF" w:rsidRPr="00EC24F7" w:rsidRDefault="000904DF" w:rsidP="000904DF">
      <w:pPr>
        <w:pBdr>
          <w:bottom w:val="single" w:sz="12" w:space="1" w:color="auto"/>
        </w:pBdr>
        <w:rPr>
          <w:rFonts w:cs="Arial"/>
          <w:lang w:val="en-GB"/>
        </w:rPr>
      </w:pPr>
    </w:p>
    <w:p w14:paraId="285B8A47" w14:textId="77777777" w:rsidR="000904DF" w:rsidRPr="00EC24F7" w:rsidRDefault="000904DF" w:rsidP="000904DF">
      <w:pPr>
        <w:rPr>
          <w:rFonts w:cs="Arial"/>
          <w:lang w:val="en-GB" w:eastAsia="ja-JP"/>
        </w:rPr>
      </w:pPr>
    </w:p>
    <w:p w14:paraId="5AD48D6C" w14:textId="138F5EE9" w:rsidR="000904DF" w:rsidRPr="00EC24F7" w:rsidRDefault="000904DF" w:rsidP="000904DF">
      <w:pPr>
        <w:jc w:val="center"/>
        <w:rPr>
          <w:rFonts w:cs="Arial"/>
          <w:b/>
          <w:bCs/>
          <w:lang w:val="en-GB"/>
        </w:rPr>
      </w:pPr>
      <w:r w:rsidRPr="00EC24F7">
        <w:rPr>
          <w:rFonts w:cs="Arial"/>
          <w:b/>
          <w:bCs/>
          <w:lang w:val="en-GB"/>
        </w:rPr>
        <w:t>THIRD RESPONDENT’S HEADS OF ARGUMENT</w:t>
      </w:r>
    </w:p>
    <w:p w14:paraId="27425AF4" w14:textId="77777777" w:rsidR="000904DF" w:rsidRPr="00EC24F7" w:rsidRDefault="000904DF" w:rsidP="000904DF">
      <w:pPr>
        <w:pBdr>
          <w:bottom w:val="single" w:sz="12" w:space="1" w:color="auto"/>
        </w:pBdr>
        <w:jc w:val="center"/>
        <w:rPr>
          <w:rFonts w:cs="Arial"/>
          <w:b/>
          <w:lang w:val="en-GB"/>
        </w:rPr>
      </w:pPr>
    </w:p>
    <w:p w14:paraId="37A7F9A4" w14:textId="3FF9C7EB" w:rsidR="000904DF" w:rsidRPr="00EC24F7" w:rsidRDefault="000904DF" w:rsidP="000904DF">
      <w:pPr>
        <w:spacing w:line="480" w:lineRule="auto"/>
        <w:jc w:val="both"/>
        <w:rPr>
          <w:rFonts w:cs="Arial"/>
          <w:b/>
          <w:bCs/>
          <w:lang w:val="en-GB"/>
        </w:rPr>
      </w:pPr>
    </w:p>
    <w:p w14:paraId="1369E8DC" w14:textId="77777777" w:rsidR="009B3D6E" w:rsidRPr="00EC24F7" w:rsidRDefault="009B3D6E" w:rsidP="000904DF">
      <w:pPr>
        <w:spacing w:line="480" w:lineRule="auto"/>
        <w:jc w:val="both"/>
        <w:rPr>
          <w:rFonts w:cs="Arial"/>
          <w:b/>
          <w:bCs/>
          <w:lang w:val="en-GB"/>
        </w:rPr>
      </w:pPr>
    </w:p>
    <w:p w14:paraId="61752210" w14:textId="6A87F7EC" w:rsidR="009B3D6E" w:rsidRPr="00EC24F7" w:rsidRDefault="009B3D6E" w:rsidP="009B3D6E">
      <w:pPr>
        <w:spacing w:line="480" w:lineRule="auto"/>
        <w:jc w:val="center"/>
        <w:rPr>
          <w:rFonts w:cs="Arial"/>
          <w:b/>
          <w:bCs/>
          <w:lang w:val="en-GB"/>
        </w:rPr>
      </w:pPr>
      <w:r w:rsidRPr="00EC24F7">
        <w:rPr>
          <w:rFonts w:cs="Arial"/>
          <w:b/>
          <w:bCs/>
          <w:lang w:val="en-GB"/>
        </w:rPr>
        <w:t>TABLE OF CONTENTS</w:t>
      </w:r>
    </w:p>
    <w:p w14:paraId="3DE28BFD" w14:textId="77777777" w:rsidR="009B3D6E" w:rsidRPr="00EC24F7" w:rsidRDefault="009B3D6E" w:rsidP="009B3D6E">
      <w:pPr>
        <w:spacing w:line="480" w:lineRule="auto"/>
        <w:jc w:val="center"/>
        <w:rPr>
          <w:rFonts w:cs="Arial"/>
          <w:b/>
          <w:bCs/>
          <w:lang w:val="en-GB"/>
        </w:rPr>
      </w:pPr>
    </w:p>
    <w:p w14:paraId="1F5020AC" w14:textId="42302A35" w:rsidR="002F6A14" w:rsidRDefault="006435D8" w:rsidP="002F6A14">
      <w:pPr>
        <w:pStyle w:val="TOC1"/>
        <w:spacing w:line="480" w:lineRule="auto"/>
        <w:rPr>
          <w:rFonts w:asciiTheme="minorHAnsi" w:eastAsiaTheme="minorEastAsia" w:hAnsiTheme="minorHAnsi" w:cstheme="minorBidi"/>
          <w:noProof/>
          <w:kern w:val="2"/>
          <w14:ligatures w14:val="standardContextual"/>
        </w:rPr>
      </w:pPr>
      <w:r w:rsidRPr="00EC24F7">
        <w:rPr>
          <w:rFonts w:cs="Arial"/>
          <w:bCs/>
          <w:lang w:val="en-GB"/>
        </w:rPr>
        <w:fldChar w:fldCharType="begin"/>
      </w:r>
      <w:r w:rsidRPr="00EC24F7">
        <w:rPr>
          <w:rFonts w:cs="Arial"/>
          <w:bCs/>
          <w:lang w:val="en-GB"/>
        </w:rPr>
        <w:instrText xml:space="preserve"> TOC \o "1-3" \h \z \u </w:instrText>
      </w:r>
      <w:r w:rsidRPr="00EC24F7">
        <w:rPr>
          <w:rFonts w:cs="Arial"/>
          <w:bCs/>
          <w:lang w:val="en-GB"/>
        </w:rPr>
        <w:fldChar w:fldCharType="separate"/>
      </w:r>
      <w:hyperlink w:anchor="_Toc226040120" w:history="1">
        <w:r w:rsidR="002F6A14" w:rsidRPr="005A1D39">
          <w:rPr>
            <w:rStyle w:val="Hyperlink"/>
            <w:rFonts w:cs="Arial"/>
            <w:bCs/>
            <w:noProof/>
            <w:lang w:val="en-GB"/>
          </w:rPr>
          <w:t>INTRODUCTION</w:t>
        </w:r>
        <w:r w:rsidR="002F6A14">
          <w:rPr>
            <w:noProof/>
            <w:webHidden/>
          </w:rPr>
          <w:tab/>
        </w:r>
        <w:r w:rsidR="002F6A14">
          <w:rPr>
            <w:noProof/>
            <w:webHidden/>
          </w:rPr>
          <w:fldChar w:fldCharType="begin"/>
        </w:r>
        <w:r w:rsidR="002F6A14">
          <w:rPr>
            <w:noProof/>
            <w:webHidden/>
          </w:rPr>
          <w:instrText xml:space="preserve"> PAGEREF _Toc226040120 \h </w:instrText>
        </w:r>
        <w:r w:rsidR="002F6A14">
          <w:rPr>
            <w:noProof/>
            <w:webHidden/>
          </w:rPr>
        </w:r>
        <w:r w:rsidR="002F6A14">
          <w:rPr>
            <w:noProof/>
            <w:webHidden/>
          </w:rPr>
          <w:fldChar w:fldCharType="separate"/>
        </w:r>
        <w:r w:rsidR="00FE4B79">
          <w:rPr>
            <w:noProof/>
            <w:webHidden/>
          </w:rPr>
          <w:t>2</w:t>
        </w:r>
        <w:r w:rsidR="002F6A14">
          <w:rPr>
            <w:noProof/>
            <w:webHidden/>
          </w:rPr>
          <w:fldChar w:fldCharType="end"/>
        </w:r>
      </w:hyperlink>
    </w:p>
    <w:p w14:paraId="600227F8" w14:textId="61B9043D" w:rsidR="002F6A14" w:rsidRDefault="002F6A14" w:rsidP="002F6A14">
      <w:pPr>
        <w:pStyle w:val="TOC1"/>
        <w:spacing w:line="480" w:lineRule="auto"/>
        <w:rPr>
          <w:rFonts w:asciiTheme="minorHAnsi" w:eastAsiaTheme="minorEastAsia" w:hAnsiTheme="minorHAnsi" w:cstheme="minorBidi"/>
          <w:noProof/>
          <w:kern w:val="2"/>
          <w14:ligatures w14:val="standardContextual"/>
        </w:rPr>
      </w:pPr>
      <w:hyperlink w:anchor="_Toc226040121" w:history="1">
        <w:r w:rsidRPr="005A1D39">
          <w:rPr>
            <w:rStyle w:val="Hyperlink"/>
            <w:rFonts w:cs="Arial"/>
            <w:noProof/>
          </w:rPr>
          <w:t>THE UNLAWFUL OCCUPIERS’ FAILURE TO PUT UP ADMSSIBLE EVIDENCE</w:t>
        </w:r>
        <w:r>
          <w:rPr>
            <w:noProof/>
            <w:webHidden/>
          </w:rPr>
          <w:tab/>
        </w:r>
        <w:r>
          <w:rPr>
            <w:noProof/>
            <w:webHidden/>
          </w:rPr>
          <w:fldChar w:fldCharType="begin"/>
        </w:r>
        <w:r>
          <w:rPr>
            <w:noProof/>
            <w:webHidden/>
          </w:rPr>
          <w:instrText xml:space="preserve"> PAGEREF _Toc226040121 \h </w:instrText>
        </w:r>
        <w:r>
          <w:rPr>
            <w:noProof/>
            <w:webHidden/>
          </w:rPr>
        </w:r>
        <w:r>
          <w:rPr>
            <w:noProof/>
            <w:webHidden/>
          </w:rPr>
          <w:fldChar w:fldCharType="separate"/>
        </w:r>
        <w:r w:rsidR="00FE4B79">
          <w:rPr>
            <w:noProof/>
            <w:webHidden/>
          </w:rPr>
          <w:t>5</w:t>
        </w:r>
        <w:r>
          <w:rPr>
            <w:noProof/>
            <w:webHidden/>
          </w:rPr>
          <w:fldChar w:fldCharType="end"/>
        </w:r>
      </w:hyperlink>
    </w:p>
    <w:p w14:paraId="4DC44BDB" w14:textId="0588A992" w:rsidR="002F6A14" w:rsidRDefault="002F6A14" w:rsidP="002F6A14">
      <w:pPr>
        <w:pStyle w:val="TOC1"/>
        <w:spacing w:line="480" w:lineRule="auto"/>
        <w:rPr>
          <w:rFonts w:asciiTheme="minorHAnsi" w:eastAsiaTheme="minorEastAsia" w:hAnsiTheme="minorHAnsi" w:cstheme="minorBidi"/>
          <w:noProof/>
          <w:kern w:val="2"/>
          <w14:ligatures w14:val="standardContextual"/>
        </w:rPr>
      </w:pPr>
      <w:hyperlink w:anchor="_Toc226040122" w:history="1">
        <w:r w:rsidRPr="005A1D39">
          <w:rPr>
            <w:rStyle w:val="Hyperlink"/>
            <w:rFonts w:cs="Arial"/>
            <w:bCs/>
            <w:noProof/>
            <w:lang w:val="en-GB"/>
          </w:rPr>
          <w:t>THE COMMON CAUSE FACTS</w:t>
        </w:r>
        <w:r>
          <w:rPr>
            <w:noProof/>
            <w:webHidden/>
          </w:rPr>
          <w:tab/>
        </w:r>
        <w:r>
          <w:rPr>
            <w:noProof/>
            <w:webHidden/>
          </w:rPr>
          <w:fldChar w:fldCharType="begin"/>
        </w:r>
        <w:r>
          <w:rPr>
            <w:noProof/>
            <w:webHidden/>
          </w:rPr>
          <w:instrText xml:space="preserve"> PAGEREF _Toc226040122 \h </w:instrText>
        </w:r>
        <w:r>
          <w:rPr>
            <w:noProof/>
            <w:webHidden/>
          </w:rPr>
        </w:r>
        <w:r>
          <w:rPr>
            <w:noProof/>
            <w:webHidden/>
          </w:rPr>
          <w:fldChar w:fldCharType="separate"/>
        </w:r>
        <w:r w:rsidR="00FE4B79">
          <w:rPr>
            <w:noProof/>
            <w:webHidden/>
          </w:rPr>
          <w:t>11</w:t>
        </w:r>
        <w:r>
          <w:rPr>
            <w:noProof/>
            <w:webHidden/>
          </w:rPr>
          <w:fldChar w:fldCharType="end"/>
        </w:r>
      </w:hyperlink>
    </w:p>
    <w:p w14:paraId="7E9EE693" w14:textId="6C6F51FC" w:rsidR="002F6A14" w:rsidRDefault="002F6A14" w:rsidP="002F6A14">
      <w:pPr>
        <w:pStyle w:val="TOC1"/>
        <w:spacing w:line="480" w:lineRule="auto"/>
        <w:rPr>
          <w:rFonts w:asciiTheme="minorHAnsi" w:eastAsiaTheme="minorEastAsia" w:hAnsiTheme="minorHAnsi" w:cstheme="minorBidi"/>
          <w:noProof/>
          <w:kern w:val="2"/>
          <w14:ligatures w14:val="standardContextual"/>
        </w:rPr>
      </w:pPr>
      <w:hyperlink w:anchor="_Toc226040123" w:history="1">
        <w:r w:rsidRPr="005A1D39">
          <w:rPr>
            <w:rStyle w:val="Hyperlink"/>
            <w:rFonts w:cs="Arial"/>
            <w:noProof/>
            <w:lang w:val="en-GB"/>
          </w:rPr>
          <w:t>THERE IS NO ABSOLUTE REQUIREMENT TO PROVIDE EMERGENCY HOUSING</w:t>
        </w:r>
        <w:r>
          <w:rPr>
            <w:noProof/>
            <w:webHidden/>
          </w:rPr>
          <w:tab/>
        </w:r>
        <w:r>
          <w:rPr>
            <w:noProof/>
            <w:webHidden/>
          </w:rPr>
          <w:fldChar w:fldCharType="begin"/>
        </w:r>
        <w:r>
          <w:rPr>
            <w:noProof/>
            <w:webHidden/>
          </w:rPr>
          <w:instrText xml:space="preserve"> PAGEREF _Toc226040123 \h </w:instrText>
        </w:r>
        <w:r>
          <w:rPr>
            <w:noProof/>
            <w:webHidden/>
          </w:rPr>
        </w:r>
        <w:r>
          <w:rPr>
            <w:noProof/>
            <w:webHidden/>
          </w:rPr>
          <w:fldChar w:fldCharType="separate"/>
        </w:r>
        <w:r w:rsidR="00FE4B79">
          <w:rPr>
            <w:noProof/>
            <w:webHidden/>
          </w:rPr>
          <w:t>20</w:t>
        </w:r>
        <w:r>
          <w:rPr>
            <w:noProof/>
            <w:webHidden/>
          </w:rPr>
          <w:fldChar w:fldCharType="end"/>
        </w:r>
      </w:hyperlink>
    </w:p>
    <w:p w14:paraId="31008353" w14:textId="457E15FB" w:rsidR="002F6A14" w:rsidRDefault="002F6A14" w:rsidP="002F6A14">
      <w:pPr>
        <w:pStyle w:val="TOC1"/>
        <w:spacing w:line="480" w:lineRule="auto"/>
        <w:rPr>
          <w:rFonts w:asciiTheme="minorHAnsi" w:eastAsiaTheme="minorEastAsia" w:hAnsiTheme="minorHAnsi" w:cstheme="minorBidi"/>
          <w:noProof/>
          <w:kern w:val="2"/>
          <w14:ligatures w14:val="standardContextual"/>
        </w:rPr>
      </w:pPr>
      <w:hyperlink w:anchor="_Toc226040124" w:history="1">
        <w:r w:rsidRPr="005A1D39">
          <w:rPr>
            <w:rStyle w:val="Hyperlink"/>
            <w:rFonts w:cs="Arial"/>
            <w:bCs/>
            <w:noProof/>
            <w:lang w:val="en-GB"/>
          </w:rPr>
          <w:t>MEANINGFUL ENGAGEMENT</w:t>
        </w:r>
        <w:r>
          <w:rPr>
            <w:noProof/>
            <w:webHidden/>
          </w:rPr>
          <w:tab/>
        </w:r>
        <w:r>
          <w:rPr>
            <w:noProof/>
            <w:webHidden/>
          </w:rPr>
          <w:fldChar w:fldCharType="begin"/>
        </w:r>
        <w:r>
          <w:rPr>
            <w:noProof/>
            <w:webHidden/>
          </w:rPr>
          <w:instrText xml:space="preserve"> PAGEREF _Toc226040124 \h </w:instrText>
        </w:r>
        <w:r>
          <w:rPr>
            <w:noProof/>
            <w:webHidden/>
          </w:rPr>
        </w:r>
        <w:r>
          <w:rPr>
            <w:noProof/>
            <w:webHidden/>
          </w:rPr>
          <w:fldChar w:fldCharType="separate"/>
        </w:r>
        <w:r w:rsidR="00FE4B79">
          <w:rPr>
            <w:noProof/>
            <w:webHidden/>
          </w:rPr>
          <w:t>25</w:t>
        </w:r>
        <w:r>
          <w:rPr>
            <w:noProof/>
            <w:webHidden/>
          </w:rPr>
          <w:fldChar w:fldCharType="end"/>
        </w:r>
      </w:hyperlink>
    </w:p>
    <w:p w14:paraId="7BBACC9C" w14:textId="4BB48288" w:rsidR="002F6A14" w:rsidRDefault="002F6A14" w:rsidP="002F6A14">
      <w:pPr>
        <w:pStyle w:val="TOC1"/>
        <w:spacing w:line="480" w:lineRule="auto"/>
        <w:rPr>
          <w:rFonts w:asciiTheme="minorHAnsi" w:eastAsiaTheme="minorEastAsia" w:hAnsiTheme="minorHAnsi" w:cstheme="minorBidi"/>
          <w:noProof/>
          <w:kern w:val="2"/>
          <w14:ligatures w14:val="standardContextual"/>
        </w:rPr>
      </w:pPr>
      <w:hyperlink w:anchor="_Toc226040125" w:history="1">
        <w:r w:rsidRPr="005A1D39">
          <w:rPr>
            <w:rStyle w:val="Hyperlink"/>
            <w:rFonts w:cs="Arial"/>
            <w:bCs/>
            <w:noProof/>
            <w:lang w:val="en-GB"/>
          </w:rPr>
          <w:t>EMERGENCY HOUSING</w:t>
        </w:r>
        <w:r>
          <w:rPr>
            <w:noProof/>
            <w:webHidden/>
          </w:rPr>
          <w:tab/>
        </w:r>
        <w:r>
          <w:rPr>
            <w:noProof/>
            <w:webHidden/>
          </w:rPr>
          <w:fldChar w:fldCharType="begin"/>
        </w:r>
        <w:r>
          <w:rPr>
            <w:noProof/>
            <w:webHidden/>
          </w:rPr>
          <w:instrText xml:space="preserve"> PAGEREF _Toc226040125 \h </w:instrText>
        </w:r>
        <w:r>
          <w:rPr>
            <w:noProof/>
            <w:webHidden/>
          </w:rPr>
        </w:r>
        <w:r>
          <w:rPr>
            <w:noProof/>
            <w:webHidden/>
          </w:rPr>
          <w:fldChar w:fldCharType="separate"/>
        </w:r>
        <w:r w:rsidR="00FE4B79">
          <w:rPr>
            <w:noProof/>
            <w:webHidden/>
          </w:rPr>
          <w:t>33</w:t>
        </w:r>
        <w:r>
          <w:rPr>
            <w:noProof/>
            <w:webHidden/>
          </w:rPr>
          <w:fldChar w:fldCharType="end"/>
        </w:r>
      </w:hyperlink>
    </w:p>
    <w:p w14:paraId="4848651F" w14:textId="172EA89B" w:rsidR="002F6A14" w:rsidRDefault="002F6A14" w:rsidP="002F6A14">
      <w:pPr>
        <w:pStyle w:val="TOC2"/>
        <w:tabs>
          <w:tab w:val="right" w:leader="dot" w:pos="9060"/>
        </w:tabs>
        <w:spacing w:line="480" w:lineRule="auto"/>
        <w:rPr>
          <w:rFonts w:asciiTheme="minorHAnsi" w:eastAsiaTheme="minorEastAsia" w:hAnsiTheme="minorHAnsi" w:cstheme="minorBidi"/>
          <w:noProof/>
          <w:kern w:val="2"/>
          <w14:ligatures w14:val="standardContextual"/>
        </w:rPr>
      </w:pPr>
      <w:hyperlink w:anchor="_Toc226040126" w:history="1">
        <w:r w:rsidRPr="005A1D39">
          <w:rPr>
            <w:rStyle w:val="Hyperlink"/>
            <w:rFonts w:cs="Arial"/>
            <w:bCs/>
            <w:noProof/>
            <w:lang w:val="en-GB"/>
          </w:rPr>
          <w:t>Transnet’s Obligations</w:t>
        </w:r>
        <w:r>
          <w:rPr>
            <w:noProof/>
            <w:webHidden/>
          </w:rPr>
          <w:tab/>
        </w:r>
        <w:r>
          <w:rPr>
            <w:noProof/>
            <w:webHidden/>
          </w:rPr>
          <w:fldChar w:fldCharType="begin"/>
        </w:r>
        <w:r>
          <w:rPr>
            <w:noProof/>
            <w:webHidden/>
          </w:rPr>
          <w:instrText xml:space="preserve"> PAGEREF _Toc226040126 \h </w:instrText>
        </w:r>
        <w:r>
          <w:rPr>
            <w:noProof/>
            <w:webHidden/>
          </w:rPr>
        </w:r>
        <w:r>
          <w:rPr>
            <w:noProof/>
            <w:webHidden/>
          </w:rPr>
          <w:fldChar w:fldCharType="separate"/>
        </w:r>
        <w:r w:rsidR="00FE4B79">
          <w:rPr>
            <w:noProof/>
            <w:webHidden/>
          </w:rPr>
          <w:t>34</w:t>
        </w:r>
        <w:r>
          <w:rPr>
            <w:noProof/>
            <w:webHidden/>
          </w:rPr>
          <w:fldChar w:fldCharType="end"/>
        </w:r>
      </w:hyperlink>
    </w:p>
    <w:p w14:paraId="1C5C3832" w14:textId="4B1585EC" w:rsidR="002F6A14" w:rsidRDefault="002F6A14" w:rsidP="002F6A14">
      <w:pPr>
        <w:pStyle w:val="TOC2"/>
        <w:tabs>
          <w:tab w:val="right" w:leader="dot" w:pos="9060"/>
        </w:tabs>
        <w:spacing w:line="480" w:lineRule="auto"/>
        <w:rPr>
          <w:rFonts w:asciiTheme="minorHAnsi" w:eastAsiaTheme="minorEastAsia" w:hAnsiTheme="minorHAnsi" w:cstheme="minorBidi"/>
          <w:noProof/>
          <w:kern w:val="2"/>
          <w14:ligatures w14:val="standardContextual"/>
        </w:rPr>
      </w:pPr>
      <w:hyperlink w:anchor="_Toc226040127" w:history="1">
        <w:r w:rsidRPr="005A1D39">
          <w:rPr>
            <w:rStyle w:val="Hyperlink"/>
            <w:rFonts w:cs="Arial"/>
            <w:bCs/>
            <w:noProof/>
            <w:lang w:val="en-GB"/>
          </w:rPr>
          <w:t>No suitable City land for emergency housing</w:t>
        </w:r>
        <w:r>
          <w:rPr>
            <w:noProof/>
            <w:webHidden/>
          </w:rPr>
          <w:tab/>
        </w:r>
        <w:r>
          <w:rPr>
            <w:noProof/>
            <w:webHidden/>
          </w:rPr>
          <w:fldChar w:fldCharType="begin"/>
        </w:r>
        <w:r>
          <w:rPr>
            <w:noProof/>
            <w:webHidden/>
          </w:rPr>
          <w:instrText xml:space="preserve"> PAGEREF _Toc226040127 \h </w:instrText>
        </w:r>
        <w:r>
          <w:rPr>
            <w:noProof/>
            <w:webHidden/>
          </w:rPr>
        </w:r>
        <w:r>
          <w:rPr>
            <w:noProof/>
            <w:webHidden/>
          </w:rPr>
          <w:fldChar w:fldCharType="separate"/>
        </w:r>
        <w:r w:rsidR="00FE4B79">
          <w:rPr>
            <w:noProof/>
            <w:webHidden/>
          </w:rPr>
          <w:t>36</w:t>
        </w:r>
        <w:r>
          <w:rPr>
            <w:noProof/>
            <w:webHidden/>
          </w:rPr>
          <w:fldChar w:fldCharType="end"/>
        </w:r>
      </w:hyperlink>
    </w:p>
    <w:p w14:paraId="18E49927" w14:textId="372372D9" w:rsidR="002F6A14" w:rsidRDefault="002F6A14" w:rsidP="002F6A14">
      <w:pPr>
        <w:pStyle w:val="TOC2"/>
        <w:tabs>
          <w:tab w:val="right" w:leader="dot" w:pos="9060"/>
        </w:tabs>
        <w:spacing w:line="480" w:lineRule="auto"/>
        <w:rPr>
          <w:rFonts w:asciiTheme="minorHAnsi" w:eastAsiaTheme="minorEastAsia" w:hAnsiTheme="minorHAnsi" w:cstheme="minorBidi"/>
          <w:noProof/>
          <w:kern w:val="2"/>
          <w14:ligatures w14:val="standardContextual"/>
        </w:rPr>
      </w:pPr>
      <w:hyperlink w:anchor="_Toc226040128" w:history="1">
        <w:r w:rsidRPr="005A1D39">
          <w:rPr>
            <w:rStyle w:val="Hyperlink"/>
            <w:rFonts w:cs="Arial"/>
            <w:bCs/>
            <w:noProof/>
            <w:lang w:val="en-GB"/>
          </w:rPr>
          <w:t>The changed funding landscape</w:t>
        </w:r>
        <w:r>
          <w:rPr>
            <w:noProof/>
            <w:webHidden/>
          </w:rPr>
          <w:tab/>
        </w:r>
        <w:r>
          <w:rPr>
            <w:noProof/>
            <w:webHidden/>
          </w:rPr>
          <w:fldChar w:fldCharType="begin"/>
        </w:r>
        <w:r>
          <w:rPr>
            <w:noProof/>
            <w:webHidden/>
          </w:rPr>
          <w:instrText xml:space="preserve"> PAGEREF _Toc226040128 \h </w:instrText>
        </w:r>
        <w:r>
          <w:rPr>
            <w:noProof/>
            <w:webHidden/>
          </w:rPr>
        </w:r>
        <w:r>
          <w:rPr>
            <w:noProof/>
            <w:webHidden/>
          </w:rPr>
          <w:fldChar w:fldCharType="separate"/>
        </w:r>
        <w:r w:rsidR="00FE4B79">
          <w:rPr>
            <w:noProof/>
            <w:webHidden/>
          </w:rPr>
          <w:t>44</w:t>
        </w:r>
        <w:r>
          <w:rPr>
            <w:noProof/>
            <w:webHidden/>
          </w:rPr>
          <w:fldChar w:fldCharType="end"/>
        </w:r>
      </w:hyperlink>
    </w:p>
    <w:p w14:paraId="14D42F7C" w14:textId="3B9134C7" w:rsidR="002F6A14" w:rsidRDefault="002F6A14" w:rsidP="002F6A14">
      <w:pPr>
        <w:pStyle w:val="TOC2"/>
        <w:tabs>
          <w:tab w:val="right" w:leader="dot" w:pos="9060"/>
        </w:tabs>
        <w:spacing w:line="480" w:lineRule="auto"/>
        <w:rPr>
          <w:rFonts w:asciiTheme="minorHAnsi" w:eastAsiaTheme="minorEastAsia" w:hAnsiTheme="minorHAnsi" w:cstheme="minorBidi"/>
          <w:noProof/>
          <w:kern w:val="2"/>
          <w14:ligatures w14:val="standardContextual"/>
        </w:rPr>
      </w:pPr>
      <w:hyperlink w:anchor="_Toc226040129" w:history="1">
        <w:r w:rsidRPr="005A1D39">
          <w:rPr>
            <w:rStyle w:val="Hyperlink"/>
            <w:rFonts w:cs="Arial"/>
            <w:noProof/>
          </w:rPr>
          <w:t>City Safe Spaces</w:t>
        </w:r>
        <w:r>
          <w:rPr>
            <w:noProof/>
            <w:webHidden/>
          </w:rPr>
          <w:tab/>
        </w:r>
        <w:r>
          <w:rPr>
            <w:noProof/>
            <w:webHidden/>
          </w:rPr>
          <w:fldChar w:fldCharType="begin"/>
        </w:r>
        <w:r>
          <w:rPr>
            <w:noProof/>
            <w:webHidden/>
          </w:rPr>
          <w:instrText xml:space="preserve"> PAGEREF _Toc226040129 \h </w:instrText>
        </w:r>
        <w:r>
          <w:rPr>
            <w:noProof/>
            <w:webHidden/>
          </w:rPr>
        </w:r>
        <w:r>
          <w:rPr>
            <w:noProof/>
            <w:webHidden/>
          </w:rPr>
          <w:fldChar w:fldCharType="separate"/>
        </w:r>
        <w:r w:rsidR="00FE4B79">
          <w:rPr>
            <w:noProof/>
            <w:webHidden/>
          </w:rPr>
          <w:t>46</w:t>
        </w:r>
        <w:r>
          <w:rPr>
            <w:noProof/>
            <w:webHidden/>
          </w:rPr>
          <w:fldChar w:fldCharType="end"/>
        </w:r>
      </w:hyperlink>
    </w:p>
    <w:p w14:paraId="2B2E5202" w14:textId="10D418CE" w:rsidR="002F6A14" w:rsidRDefault="002F6A14" w:rsidP="002F6A14">
      <w:pPr>
        <w:pStyle w:val="TOC2"/>
        <w:tabs>
          <w:tab w:val="right" w:leader="dot" w:pos="9060"/>
        </w:tabs>
        <w:spacing w:line="480" w:lineRule="auto"/>
        <w:rPr>
          <w:rFonts w:asciiTheme="minorHAnsi" w:eastAsiaTheme="minorEastAsia" w:hAnsiTheme="minorHAnsi" w:cstheme="minorBidi"/>
          <w:noProof/>
          <w:kern w:val="2"/>
          <w14:ligatures w14:val="standardContextual"/>
        </w:rPr>
      </w:pPr>
      <w:hyperlink w:anchor="_Toc226040130" w:history="1">
        <w:r w:rsidRPr="005A1D39">
          <w:rPr>
            <w:rStyle w:val="Hyperlink"/>
            <w:rFonts w:cs="Arial"/>
            <w:noProof/>
            <w:lang w:val="en-GB"/>
          </w:rPr>
          <w:t>The Langa Site</w:t>
        </w:r>
        <w:r>
          <w:rPr>
            <w:noProof/>
            <w:webHidden/>
          </w:rPr>
          <w:tab/>
        </w:r>
        <w:r>
          <w:rPr>
            <w:noProof/>
            <w:webHidden/>
          </w:rPr>
          <w:fldChar w:fldCharType="begin"/>
        </w:r>
        <w:r>
          <w:rPr>
            <w:noProof/>
            <w:webHidden/>
          </w:rPr>
          <w:instrText xml:space="preserve"> PAGEREF _Toc226040130 \h </w:instrText>
        </w:r>
        <w:r>
          <w:rPr>
            <w:noProof/>
            <w:webHidden/>
          </w:rPr>
        </w:r>
        <w:r>
          <w:rPr>
            <w:noProof/>
            <w:webHidden/>
          </w:rPr>
          <w:fldChar w:fldCharType="separate"/>
        </w:r>
        <w:r w:rsidR="00FE4B79">
          <w:rPr>
            <w:noProof/>
            <w:webHidden/>
          </w:rPr>
          <w:t>49</w:t>
        </w:r>
        <w:r>
          <w:rPr>
            <w:noProof/>
            <w:webHidden/>
          </w:rPr>
          <w:fldChar w:fldCharType="end"/>
        </w:r>
      </w:hyperlink>
    </w:p>
    <w:p w14:paraId="2B0CE5C7" w14:textId="29080C02" w:rsidR="002F6A14" w:rsidRDefault="002F6A14" w:rsidP="002F6A14">
      <w:pPr>
        <w:pStyle w:val="TOC2"/>
        <w:tabs>
          <w:tab w:val="right" w:leader="dot" w:pos="9060"/>
        </w:tabs>
        <w:spacing w:line="480" w:lineRule="auto"/>
        <w:rPr>
          <w:rFonts w:asciiTheme="minorHAnsi" w:eastAsiaTheme="minorEastAsia" w:hAnsiTheme="minorHAnsi" w:cstheme="minorBidi"/>
          <w:noProof/>
          <w:kern w:val="2"/>
          <w14:ligatures w14:val="standardContextual"/>
        </w:rPr>
      </w:pPr>
      <w:hyperlink w:anchor="_Toc226040131" w:history="1">
        <w:r w:rsidRPr="005A1D39">
          <w:rPr>
            <w:rStyle w:val="Hyperlink"/>
            <w:rFonts w:cs="Arial"/>
            <w:bCs/>
            <w:noProof/>
            <w:lang w:val="en-GB"/>
          </w:rPr>
          <w:t>Undocumented foreign nationals</w:t>
        </w:r>
        <w:r>
          <w:rPr>
            <w:noProof/>
            <w:webHidden/>
          </w:rPr>
          <w:tab/>
        </w:r>
        <w:r>
          <w:rPr>
            <w:noProof/>
            <w:webHidden/>
          </w:rPr>
          <w:fldChar w:fldCharType="begin"/>
        </w:r>
        <w:r>
          <w:rPr>
            <w:noProof/>
            <w:webHidden/>
          </w:rPr>
          <w:instrText xml:space="preserve"> PAGEREF _Toc226040131 \h </w:instrText>
        </w:r>
        <w:r>
          <w:rPr>
            <w:noProof/>
            <w:webHidden/>
          </w:rPr>
        </w:r>
        <w:r>
          <w:rPr>
            <w:noProof/>
            <w:webHidden/>
          </w:rPr>
          <w:fldChar w:fldCharType="separate"/>
        </w:r>
        <w:r w:rsidR="00FE4B79">
          <w:rPr>
            <w:noProof/>
            <w:webHidden/>
          </w:rPr>
          <w:t>54</w:t>
        </w:r>
        <w:r>
          <w:rPr>
            <w:noProof/>
            <w:webHidden/>
          </w:rPr>
          <w:fldChar w:fldCharType="end"/>
        </w:r>
      </w:hyperlink>
    </w:p>
    <w:p w14:paraId="28D7CEF9" w14:textId="7BBE28BF" w:rsidR="002F6A14" w:rsidRDefault="002F6A14" w:rsidP="002F6A14">
      <w:pPr>
        <w:pStyle w:val="TOC1"/>
        <w:spacing w:line="480" w:lineRule="auto"/>
        <w:rPr>
          <w:rFonts w:asciiTheme="minorHAnsi" w:eastAsiaTheme="minorEastAsia" w:hAnsiTheme="minorHAnsi" w:cstheme="minorBidi"/>
          <w:noProof/>
          <w:kern w:val="2"/>
          <w14:ligatures w14:val="standardContextual"/>
        </w:rPr>
      </w:pPr>
      <w:hyperlink w:anchor="_Toc226040132" w:history="1">
        <w:r w:rsidRPr="005A1D39">
          <w:rPr>
            <w:rStyle w:val="Hyperlink"/>
            <w:rFonts w:cs="Arial"/>
            <w:bCs/>
            <w:noProof/>
            <w:lang w:val="en-GB"/>
          </w:rPr>
          <w:t xml:space="preserve">INSPECTION </w:t>
        </w:r>
        <w:r w:rsidRPr="005A1D39">
          <w:rPr>
            <w:rStyle w:val="Hyperlink"/>
            <w:rFonts w:cs="Arial"/>
            <w:bCs/>
            <w:i/>
            <w:iCs/>
            <w:noProof/>
            <w:lang w:val="en-GB"/>
          </w:rPr>
          <w:t>IN LOCO</w:t>
        </w:r>
        <w:r>
          <w:rPr>
            <w:noProof/>
            <w:webHidden/>
          </w:rPr>
          <w:tab/>
        </w:r>
        <w:r>
          <w:rPr>
            <w:noProof/>
            <w:webHidden/>
          </w:rPr>
          <w:fldChar w:fldCharType="begin"/>
        </w:r>
        <w:r>
          <w:rPr>
            <w:noProof/>
            <w:webHidden/>
          </w:rPr>
          <w:instrText xml:space="preserve"> PAGEREF _Toc226040132 \h </w:instrText>
        </w:r>
        <w:r>
          <w:rPr>
            <w:noProof/>
            <w:webHidden/>
          </w:rPr>
        </w:r>
        <w:r>
          <w:rPr>
            <w:noProof/>
            <w:webHidden/>
          </w:rPr>
          <w:fldChar w:fldCharType="separate"/>
        </w:r>
        <w:r w:rsidR="00FE4B79">
          <w:rPr>
            <w:noProof/>
            <w:webHidden/>
          </w:rPr>
          <w:t>57</w:t>
        </w:r>
        <w:r>
          <w:rPr>
            <w:noProof/>
            <w:webHidden/>
          </w:rPr>
          <w:fldChar w:fldCharType="end"/>
        </w:r>
      </w:hyperlink>
    </w:p>
    <w:p w14:paraId="7A2BEB76" w14:textId="082DBA93" w:rsidR="002F6A14" w:rsidRDefault="002F6A14" w:rsidP="002F6A14">
      <w:pPr>
        <w:pStyle w:val="TOC1"/>
        <w:spacing w:line="480" w:lineRule="auto"/>
        <w:rPr>
          <w:rFonts w:asciiTheme="minorHAnsi" w:eastAsiaTheme="minorEastAsia" w:hAnsiTheme="minorHAnsi" w:cstheme="minorBidi"/>
          <w:noProof/>
          <w:kern w:val="2"/>
          <w14:ligatures w14:val="standardContextual"/>
        </w:rPr>
      </w:pPr>
      <w:hyperlink w:anchor="_Toc226040133" w:history="1">
        <w:r w:rsidRPr="005A1D39">
          <w:rPr>
            <w:rStyle w:val="Hyperlink"/>
            <w:rFonts w:cs="Arial"/>
            <w:bCs/>
            <w:noProof/>
            <w:lang w:val="en-GB"/>
          </w:rPr>
          <w:t>THE ADMISSION OF THE FURTHER AFFIDAVIT IN TERMS OF RULE 6(5)(e)</w:t>
        </w:r>
        <w:r>
          <w:rPr>
            <w:noProof/>
            <w:webHidden/>
          </w:rPr>
          <w:tab/>
        </w:r>
        <w:r>
          <w:rPr>
            <w:noProof/>
            <w:webHidden/>
          </w:rPr>
          <w:fldChar w:fldCharType="begin"/>
        </w:r>
        <w:r>
          <w:rPr>
            <w:noProof/>
            <w:webHidden/>
          </w:rPr>
          <w:instrText xml:space="preserve"> PAGEREF _Toc226040133 \h </w:instrText>
        </w:r>
        <w:r>
          <w:rPr>
            <w:noProof/>
            <w:webHidden/>
          </w:rPr>
        </w:r>
        <w:r>
          <w:rPr>
            <w:noProof/>
            <w:webHidden/>
          </w:rPr>
          <w:fldChar w:fldCharType="separate"/>
        </w:r>
        <w:r w:rsidR="00FE4B79">
          <w:rPr>
            <w:noProof/>
            <w:webHidden/>
          </w:rPr>
          <w:t>58</w:t>
        </w:r>
        <w:r>
          <w:rPr>
            <w:noProof/>
            <w:webHidden/>
          </w:rPr>
          <w:fldChar w:fldCharType="end"/>
        </w:r>
      </w:hyperlink>
    </w:p>
    <w:p w14:paraId="01F5193D" w14:textId="13F73606" w:rsidR="002F6A14" w:rsidRDefault="002F6A14" w:rsidP="002F6A14">
      <w:pPr>
        <w:pStyle w:val="TOC1"/>
        <w:spacing w:line="480" w:lineRule="auto"/>
        <w:rPr>
          <w:rFonts w:asciiTheme="minorHAnsi" w:eastAsiaTheme="minorEastAsia" w:hAnsiTheme="minorHAnsi" w:cstheme="minorBidi"/>
          <w:noProof/>
          <w:kern w:val="2"/>
          <w14:ligatures w14:val="standardContextual"/>
        </w:rPr>
      </w:pPr>
      <w:hyperlink w:anchor="_Toc226040134" w:history="1">
        <w:r w:rsidRPr="005A1D39">
          <w:rPr>
            <w:rStyle w:val="Hyperlink"/>
            <w:rFonts w:cs="Arial"/>
            <w:bCs/>
            <w:noProof/>
            <w:lang w:val="en-GB"/>
          </w:rPr>
          <w:t>CONCLUSION</w:t>
        </w:r>
        <w:r>
          <w:rPr>
            <w:noProof/>
            <w:webHidden/>
          </w:rPr>
          <w:tab/>
        </w:r>
        <w:r>
          <w:rPr>
            <w:noProof/>
            <w:webHidden/>
          </w:rPr>
          <w:fldChar w:fldCharType="begin"/>
        </w:r>
        <w:r>
          <w:rPr>
            <w:noProof/>
            <w:webHidden/>
          </w:rPr>
          <w:instrText xml:space="preserve"> PAGEREF _Toc226040134 \h </w:instrText>
        </w:r>
        <w:r>
          <w:rPr>
            <w:noProof/>
            <w:webHidden/>
          </w:rPr>
        </w:r>
        <w:r>
          <w:rPr>
            <w:noProof/>
            <w:webHidden/>
          </w:rPr>
          <w:fldChar w:fldCharType="separate"/>
        </w:r>
        <w:r w:rsidR="00FE4B79">
          <w:rPr>
            <w:noProof/>
            <w:webHidden/>
          </w:rPr>
          <w:t>61</w:t>
        </w:r>
        <w:r>
          <w:rPr>
            <w:noProof/>
            <w:webHidden/>
          </w:rPr>
          <w:fldChar w:fldCharType="end"/>
        </w:r>
      </w:hyperlink>
    </w:p>
    <w:p w14:paraId="7B5A3377" w14:textId="32D5E6F1" w:rsidR="006435D8" w:rsidRPr="00EC24F7" w:rsidRDefault="006435D8" w:rsidP="002F6A14">
      <w:pPr>
        <w:spacing w:line="480" w:lineRule="auto"/>
        <w:jc w:val="both"/>
        <w:rPr>
          <w:rFonts w:cs="Arial"/>
          <w:b/>
          <w:bCs/>
          <w:lang w:val="en-GB"/>
        </w:rPr>
      </w:pPr>
      <w:r w:rsidRPr="00EC24F7">
        <w:rPr>
          <w:rFonts w:cs="Arial"/>
          <w:bCs/>
          <w:lang w:val="en-GB"/>
        </w:rPr>
        <w:fldChar w:fldCharType="end"/>
      </w:r>
    </w:p>
    <w:p w14:paraId="08DAAF51" w14:textId="48846EEC" w:rsidR="006435D8" w:rsidRPr="00EC24F7" w:rsidRDefault="006435D8">
      <w:pPr>
        <w:rPr>
          <w:rFonts w:cs="Arial"/>
          <w:b/>
          <w:bCs/>
          <w:lang w:val="en-GB"/>
        </w:rPr>
      </w:pPr>
      <w:r w:rsidRPr="00EC24F7">
        <w:rPr>
          <w:rFonts w:cs="Arial"/>
          <w:b/>
          <w:bCs/>
          <w:lang w:val="en-GB"/>
        </w:rPr>
        <w:br w:type="page"/>
      </w:r>
    </w:p>
    <w:p w14:paraId="451B488F" w14:textId="6A78E5A1" w:rsidR="000904DF" w:rsidRPr="00EC24F7" w:rsidRDefault="000904DF" w:rsidP="008001EA">
      <w:pPr>
        <w:pStyle w:val="Heading1"/>
        <w:rPr>
          <w:rFonts w:cs="Arial"/>
          <w:b w:val="0"/>
          <w:bCs/>
          <w:szCs w:val="24"/>
          <w:lang w:val="en-GB"/>
        </w:rPr>
      </w:pPr>
      <w:bookmarkStart w:id="0" w:name="_Toc225751536"/>
      <w:bookmarkStart w:id="1" w:name="_Toc226040120"/>
      <w:r w:rsidRPr="00EC24F7">
        <w:rPr>
          <w:rFonts w:cs="Arial"/>
          <w:bCs/>
          <w:szCs w:val="24"/>
          <w:lang w:val="en-GB"/>
        </w:rPr>
        <w:lastRenderedPageBreak/>
        <w:t>INTRODUCTION</w:t>
      </w:r>
      <w:bookmarkEnd w:id="0"/>
      <w:bookmarkEnd w:id="1"/>
      <w:r w:rsidRPr="00EC24F7">
        <w:rPr>
          <w:rFonts w:cs="Arial"/>
          <w:bCs/>
          <w:szCs w:val="24"/>
          <w:lang w:val="en-GB"/>
        </w:rPr>
        <w:t xml:space="preserve"> </w:t>
      </w:r>
    </w:p>
    <w:p w14:paraId="1E64DE4F" w14:textId="511BFC9A" w:rsidR="002E3206" w:rsidRPr="00EC24F7" w:rsidRDefault="00220DF1" w:rsidP="002E3206">
      <w:pPr>
        <w:numPr>
          <w:ilvl w:val="0"/>
          <w:numId w:val="2"/>
        </w:numPr>
        <w:snapToGrid w:val="0"/>
        <w:spacing w:before="120" w:after="360" w:line="480" w:lineRule="auto"/>
        <w:jc w:val="both"/>
        <w:rPr>
          <w:rFonts w:cs="Arial"/>
          <w:lang w:val="en-GB"/>
        </w:rPr>
      </w:pPr>
      <w:r w:rsidRPr="00EC24F7">
        <w:rPr>
          <w:rFonts w:cs="Arial"/>
          <w:lang w:val="en-GB"/>
        </w:rPr>
        <w:t xml:space="preserve">The applicant (‘Transnet’) seeks the eviction of the first and second respondents (‘the unlawful occupiers’) from three properties owned by Transnet </w:t>
      </w:r>
      <w:r w:rsidR="000904DF" w:rsidRPr="00EC24F7">
        <w:rPr>
          <w:rFonts w:cs="Arial"/>
          <w:lang w:val="en-GB"/>
        </w:rPr>
        <w:t>in terms of s</w:t>
      </w:r>
      <w:r w:rsidR="0067440F" w:rsidRPr="00EC24F7">
        <w:rPr>
          <w:rFonts w:cs="Arial"/>
          <w:lang w:val="en-GB"/>
        </w:rPr>
        <w:t> </w:t>
      </w:r>
      <w:r w:rsidR="000904DF" w:rsidRPr="00EC24F7">
        <w:rPr>
          <w:rFonts w:cs="Arial"/>
          <w:lang w:val="en-GB"/>
        </w:rPr>
        <w:t>4, alternatively s</w:t>
      </w:r>
      <w:r w:rsidR="0067440F" w:rsidRPr="00EC24F7">
        <w:rPr>
          <w:rFonts w:cs="Arial"/>
          <w:lang w:val="en-GB"/>
        </w:rPr>
        <w:t> </w:t>
      </w:r>
      <w:r w:rsidR="000904DF" w:rsidRPr="00EC24F7">
        <w:rPr>
          <w:rFonts w:cs="Arial"/>
          <w:lang w:val="en-GB"/>
        </w:rPr>
        <w:t>6, of the Prevention of Illegal Eviction from and Unlawful Occupation of Land Act 19 of 1998 (‘PIE’).</w:t>
      </w:r>
      <w:r w:rsidR="000904DF" w:rsidRPr="00EC24F7">
        <w:rPr>
          <w:rStyle w:val="FootnoteReference"/>
          <w:rFonts w:cs="Arial"/>
          <w:lang w:val="en-GB"/>
        </w:rPr>
        <w:footnoteReference w:id="1"/>
      </w:r>
      <w:r w:rsidR="000904DF" w:rsidRPr="00EC24F7">
        <w:rPr>
          <w:rFonts w:cs="Arial"/>
          <w:lang w:val="en-GB"/>
        </w:rPr>
        <w:t xml:space="preserve"> </w:t>
      </w:r>
      <w:r w:rsidR="00650BCC" w:rsidRPr="00EC24F7">
        <w:rPr>
          <w:rFonts w:cs="Arial"/>
          <w:lang w:val="en-GB"/>
        </w:rPr>
        <w:t xml:space="preserve"> </w:t>
      </w:r>
      <w:r w:rsidR="002A11F0" w:rsidRPr="00EC24F7">
        <w:rPr>
          <w:rFonts w:cs="Arial"/>
          <w:lang w:val="en-GB"/>
        </w:rPr>
        <w:t xml:space="preserve"> </w:t>
      </w:r>
      <w:r w:rsidR="00650BCC" w:rsidRPr="00EC24F7">
        <w:rPr>
          <w:rFonts w:cs="Arial"/>
          <w:lang w:val="en-GB"/>
        </w:rPr>
        <w:t xml:space="preserve">The </w:t>
      </w:r>
      <w:r w:rsidR="00230D97" w:rsidRPr="00EC24F7">
        <w:rPr>
          <w:rFonts w:cs="Arial"/>
          <w:lang w:val="en-GB"/>
        </w:rPr>
        <w:t>unlawful</w:t>
      </w:r>
      <w:r w:rsidR="00650BCC" w:rsidRPr="00EC24F7">
        <w:rPr>
          <w:rFonts w:cs="Arial"/>
          <w:lang w:val="en-GB"/>
        </w:rPr>
        <w:t xml:space="preserve"> </w:t>
      </w:r>
      <w:r w:rsidR="008D47E4" w:rsidRPr="00EC24F7">
        <w:rPr>
          <w:rFonts w:cs="Arial"/>
          <w:lang w:val="en-GB"/>
        </w:rPr>
        <w:t xml:space="preserve">occupiers appear to </w:t>
      </w:r>
      <w:r w:rsidR="00650BCC" w:rsidRPr="00EC24F7">
        <w:rPr>
          <w:rFonts w:cs="Arial"/>
          <w:lang w:val="en-GB"/>
        </w:rPr>
        <w:t>comprise of some 282 persons</w:t>
      </w:r>
      <w:r w:rsidR="00572399" w:rsidRPr="00EC24F7">
        <w:rPr>
          <w:rStyle w:val="FootnoteReference"/>
          <w:rFonts w:cs="Arial"/>
          <w:lang w:val="en-GB"/>
        </w:rPr>
        <w:footnoteReference w:id="2"/>
      </w:r>
      <w:r w:rsidR="00650BCC" w:rsidRPr="00EC24F7">
        <w:rPr>
          <w:rFonts w:cs="Arial"/>
          <w:lang w:val="en-GB"/>
        </w:rPr>
        <w:t xml:space="preserve"> who have been unlawfully occupying </w:t>
      </w:r>
      <w:r w:rsidR="0019715E" w:rsidRPr="00EC24F7">
        <w:rPr>
          <w:rFonts w:eastAsiaTheme="minorHAnsi" w:cs="Arial"/>
          <w:lang w:val="en-GB"/>
        </w:rPr>
        <w:t>ten</w:t>
      </w:r>
      <w:r w:rsidR="00650BCC" w:rsidRPr="00EC24F7">
        <w:rPr>
          <w:rFonts w:eastAsiaTheme="minorHAnsi" w:cs="Arial"/>
          <w:lang w:val="en-GB"/>
        </w:rPr>
        <w:t xml:space="preserve"> pockets of land</w:t>
      </w:r>
      <w:r w:rsidR="00650BCC" w:rsidRPr="00EC24F7">
        <w:rPr>
          <w:rStyle w:val="FootnoteReference"/>
          <w:rFonts w:eastAsiaTheme="minorHAnsi" w:cs="Arial"/>
          <w:lang w:val="en-GB"/>
        </w:rPr>
        <w:footnoteReference w:id="3"/>
      </w:r>
      <w:r w:rsidR="00650BCC" w:rsidRPr="00EC24F7">
        <w:rPr>
          <w:rFonts w:eastAsiaTheme="minorHAnsi" w:cs="Arial"/>
          <w:lang w:val="en-GB"/>
        </w:rPr>
        <w:t xml:space="preserve"> located on the properties</w:t>
      </w:r>
      <w:r w:rsidR="00F05B39" w:rsidRPr="00EC24F7">
        <w:rPr>
          <w:rFonts w:eastAsiaTheme="minorHAnsi" w:cs="Arial"/>
          <w:lang w:val="en-GB"/>
        </w:rPr>
        <w:t xml:space="preserve"> from as far back as 201</w:t>
      </w:r>
      <w:r w:rsidR="00747634" w:rsidRPr="00EC24F7">
        <w:rPr>
          <w:rFonts w:eastAsiaTheme="minorHAnsi" w:cs="Arial"/>
          <w:lang w:val="en-GB"/>
        </w:rPr>
        <w:t>3</w:t>
      </w:r>
      <w:r w:rsidR="00F05B39" w:rsidRPr="00EC24F7">
        <w:rPr>
          <w:rFonts w:eastAsiaTheme="minorHAnsi" w:cs="Arial"/>
          <w:lang w:val="en-GB"/>
        </w:rPr>
        <w:t xml:space="preserve"> (in respect of Area</w:t>
      </w:r>
      <w:r w:rsidR="00F834F0" w:rsidRPr="00EC24F7">
        <w:rPr>
          <w:rFonts w:eastAsiaTheme="minorHAnsi" w:cs="Arial"/>
          <w:lang w:val="en-GB"/>
        </w:rPr>
        <w:t> </w:t>
      </w:r>
      <w:r w:rsidR="00F05B39" w:rsidRPr="00EC24F7">
        <w:rPr>
          <w:rFonts w:eastAsiaTheme="minorHAnsi" w:cs="Arial"/>
          <w:lang w:val="en-GB"/>
        </w:rPr>
        <w:t>J)</w:t>
      </w:r>
      <w:r w:rsidR="00076946" w:rsidRPr="00EC24F7">
        <w:rPr>
          <w:rStyle w:val="FootnoteReference"/>
          <w:rFonts w:eastAsiaTheme="minorHAnsi" w:cs="Arial"/>
          <w:lang w:val="en-GB"/>
        </w:rPr>
        <w:footnoteReference w:id="4"/>
      </w:r>
      <w:r w:rsidR="00F05B39" w:rsidRPr="00EC24F7">
        <w:rPr>
          <w:rFonts w:eastAsiaTheme="minorHAnsi" w:cs="Arial"/>
          <w:lang w:val="en-GB"/>
        </w:rPr>
        <w:t xml:space="preserve"> to around 2022 (in respect of </w:t>
      </w:r>
      <w:r w:rsidR="00D7527E" w:rsidRPr="00EC24F7">
        <w:rPr>
          <w:rFonts w:eastAsiaTheme="minorHAnsi" w:cs="Arial"/>
          <w:lang w:val="en-GB"/>
        </w:rPr>
        <w:t>Areas G, H and I</w:t>
      </w:r>
      <w:r w:rsidR="00F05B39" w:rsidRPr="00EC24F7">
        <w:rPr>
          <w:rFonts w:eastAsiaTheme="minorHAnsi" w:cs="Arial"/>
          <w:lang w:val="en-GB"/>
        </w:rPr>
        <w:t>)</w:t>
      </w:r>
      <w:r w:rsidR="00D7527E" w:rsidRPr="00EC24F7">
        <w:rPr>
          <w:rFonts w:eastAsiaTheme="minorHAnsi" w:cs="Arial"/>
          <w:lang w:val="en-GB"/>
        </w:rPr>
        <w:t>.</w:t>
      </w:r>
      <w:r w:rsidR="00D7527E" w:rsidRPr="00EC24F7">
        <w:rPr>
          <w:rStyle w:val="FootnoteReference"/>
          <w:rFonts w:eastAsiaTheme="minorHAnsi" w:cs="Arial"/>
          <w:lang w:val="en-GB"/>
        </w:rPr>
        <w:footnoteReference w:id="5"/>
      </w:r>
      <w:r w:rsidR="002A11F0" w:rsidRPr="00EC24F7">
        <w:rPr>
          <w:rFonts w:eastAsiaTheme="minorHAnsi" w:cs="Arial"/>
          <w:lang w:val="en-GB"/>
        </w:rPr>
        <w:t xml:space="preserve">  </w:t>
      </w:r>
    </w:p>
    <w:p w14:paraId="71E5AEE2" w14:textId="25D91670" w:rsidR="00B14084" w:rsidRPr="00EC24F7" w:rsidRDefault="00AC2D65" w:rsidP="00FE2823">
      <w:pPr>
        <w:numPr>
          <w:ilvl w:val="0"/>
          <w:numId w:val="2"/>
        </w:numPr>
        <w:snapToGrid w:val="0"/>
        <w:spacing w:before="120" w:after="360" w:line="480" w:lineRule="auto"/>
        <w:jc w:val="both"/>
        <w:rPr>
          <w:rFonts w:cs="Arial"/>
          <w:lang w:val="en-GB"/>
        </w:rPr>
      </w:pPr>
      <w:r w:rsidRPr="00EC24F7">
        <w:rPr>
          <w:rFonts w:cs="Arial"/>
          <w:lang w:val="en-GB"/>
        </w:rPr>
        <w:t>T</w:t>
      </w:r>
      <w:r w:rsidR="000904DF" w:rsidRPr="00EC24F7">
        <w:rPr>
          <w:rFonts w:cs="Arial"/>
          <w:lang w:val="en-GB"/>
        </w:rPr>
        <w:t xml:space="preserve">he City </w:t>
      </w:r>
      <w:r w:rsidR="005E5B1B" w:rsidRPr="00EC24F7">
        <w:rPr>
          <w:rFonts w:cs="Arial"/>
          <w:lang w:val="en-GB"/>
        </w:rPr>
        <w:t>contends that</w:t>
      </w:r>
      <w:r w:rsidR="00F8158E" w:rsidRPr="00EC24F7">
        <w:rPr>
          <w:rFonts w:cs="Arial"/>
          <w:lang w:val="en-GB"/>
        </w:rPr>
        <w:t xml:space="preserve"> </w:t>
      </w:r>
      <w:r w:rsidR="002C6C7C" w:rsidRPr="00EC24F7">
        <w:rPr>
          <w:rFonts w:cs="Arial"/>
          <w:lang w:val="en-GB"/>
        </w:rPr>
        <w:t>it is not just and equitable for</w:t>
      </w:r>
      <w:r w:rsidR="00725D90" w:rsidRPr="00EC24F7">
        <w:rPr>
          <w:rFonts w:cs="Arial"/>
          <w:lang w:val="en-GB"/>
        </w:rPr>
        <w:t xml:space="preserve"> the City </w:t>
      </w:r>
      <w:r w:rsidR="002C6C7C" w:rsidRPr="00EC24F7">
        <w:rPr>
          <w:rFonts w:cs="Arial"/>
          <w:lang w:val="en-GB"/>
        </w:rPr>
        <w:t>to be called on</w:t>
      </w:r>
      <w:r w:rsidR="00725D90" w:rsidRPr="00EC24F7">
        <w:rPr>
          <w:rFonts w:cs="Arial"/>
          <w:lang w:val="en-GB"/>
        </w:rPr>
        <w:t xml:space="preserve"> to provide </w:t>
      </w:r>
      <w:r w:rsidR="002C6C7C" w:rsidRPr="00EC24F7">
        <w:rPr>
          <w:rFonts w:cs="Arial"/>
          <w:lang w:val="en-GB"/>
        </w:rPr>
        <w:t xml:space="preserve">the unlawful occupiers with </w:t>
      </w:r>
      <w:r w:rsidR="00725D90" w:rsidRPr="00EC24F7">
        <w:rPr>
          <w:rFonts w:cs="Arial"/>
          <w:lang w:val="en-GB"/>
        </w:rPr>
        <w:t xml:space="preserve">emergency </w:t>
      </w:r>
      <w:r w:rsidR="002C6C7C" w:rsidRPr="00EC24F7">
        <w:rPr>
          <w:rFonts w:cs="Arial"/>
          <w:lang w:val="en-GB"/>
        </w:rPr>
        <w:t>housing</w:t>
      </w:r>
      <w:r w:rsidR="00BC3E0C" w:rsidRPr="00EC24F7">
        <w:rPr>
          <w:rFonts w:cs="Arial"/>
          <w:lang w:val="en-GB"/>
        </w:rPr>
        <w:t xml:space="preserve"> as the undisputed evidence shows that </w:t>
      </w:r>
      <w:r w:rsidR="00FE2823" w:rsidRPr="00EC24F7">
        <w:rPr>
          <w:rFonts w:cs="Arial"/>
          <w:lang w:val="en-GB"/>
        </w:rPr>
        <w:t xml:space="preserve">the unlawful </w:t>
      </w:r>
      <w:r w:rsidR="00FE2823" w:rsidRPr="00EC24F7">
        <w:rPr>
          <w:rFonts w:cs="Arial"/>
          <w:color w:val="000000" w:themeColor="text1"/>
          <w:lang w:val="en-GB"/>
        </w:rPr>
        <w:t>occupation provides an informal base for opportunistic criminal activity</w:t>
      </w:r>
      <w:r w:rsidR="002C6C7C" w:rsidRPr="00EC24F7">
        <w:rPr>
          <w:rFonts w:cs="Arial"/>
          <w:lang w:val="en-GB"/>
        </w:rPr>
        <w:t>.</w:t>
      </w:r>
      <w:r w:rsidR="00910567" w:rsidRPr="00EC24F7">
        <w:rPr>
          <w:rStyle w:val="FootnoteReference"/>
          <w:rFonts w:cs="Arial"/>
          <w:lang w:val="en-GB"/>
        </w:rPr>
        <w:footnoteReference w:id="6"/>
      </w:r>
      <w:r w:rsidR="00725D90" w:rsidRPr="00EC24F7">
        <w:rPr>
          <w:rFonts w:cs="Arial"/>
          <w:lang w:val="en-GB"/>
        </w:rPr>
        <w:t xml:space="preserve"> </w:t>
      </w:r>
      <w:r w:rsidR="002C6C7C" w:rsidRPr="00EC24F7">
        <w:rPr>
          <w:rFonts w:cs="Arial"/>
          <w:lang w:val="en-GB"/>
        </w:rPr>
        <w:t xml:space="preserve"> But, </w:t>
      </w:r>
      <w:r w:rsidR="00BE52D5" w:rsidRPr="00EC24F7">
        <w:rPr>
          <w:rFonts w:cs="Arial"/>
          <w:lang w:val="en-GB"/>
        </w:rPr>
        <w:t>if</w:t>
      </w:r>
      <w:r w:rsidR="002C6C7C" w:rsidRPr="00EC24F7">
        <w:rPr>
          <w:rFonts w:cs="Arial"/>
          <w:lang w:val="en-GB"/>
        </w:rPr>
        <w:t xml:space="preserve"> notwithstanding </w:t>
      </w:r>
      <w:r w:rsidR="00070CB9" w:rsidRPr="00EC24F7">
        <w:rPr>
          <w:rFonts w:cs="Arial"/>
          <w:lang w:val="en-GB"/>
        </w:rPr>
        <w:t xml:space="preserve">the circumstances of </w:t>
      </w:r>
      <w:r w:rsidR="005A7CEC" w:rsidRPr="00EC24F7">
        <w:rPr>
          <w:rFonts w:cs="Arial"/>
          <w:lang w:val="en-GB"/>
        </w:rPr>
        <w:t>the</w:t>
      </w:r>
      <w:r w:rsidR="00070CB9" w:rsidRPr="00EC24F7">
        <w:rPr>
          <w:rFonts w:cs="Arial"/>
          <w:lang w:val="en-GB"/>
        </w:rPr>
        <w:t xml:space="preserve"> unlawful occupation, </w:t>
      </w:r>
      <w:r w:rsidR="004D5A1A" w:rsidRPr="00EC24F7">
        <w:rPr>
          <w:rFonts w:cs="Arial"/>
          <w:lang w:val="en-GB"/>
        </w:rPr>
        <w:t>this Court determines</w:t>
      </w:r>
      <w:r w:rsidR="004E3C14" w:rsidRPr="00EC24F7">
        <w:rPr>
          <w:rFonts w:cs="Arial"/>
          <w:color w:val="000000" w:themeColor="text1"/>
          <w:lang w:val="en-GB"/>
        </w:rPr>
        <w:t xml:space="preserve"> </w:t>
      </w:r>
      <w:r w:rsidR="002C6C7C" w:rsidRPr="00EC24F7">
        <w:rPr>
          <w:rFonts w:cs="Arial"/>
          <w:lang w:val="en-GB"/>
        </w:rPr>
        <w:t xml:space="preserve">that </w:t>
      </w:r>
      <w:r w:rsidR="00717934" w:rsidRPr="00EC24F7">
        <w:rPr>
          <w:rFonts w:cs="Arial"/>
          <w:lang w:val="en-GB"/>
        </w:rPr>
        <w:t xml:space="preserve">it </w:t>
      </w:r>
      <w:r w:rsidR="00200473" w:rsidRPr="00EC24F7">
        <w:rPr>
          <w:rFonts w:cs="Arial"/>
          <w:lang w:val="en-GB"/>
        </w:rPr>
        <w:t>is nonetheless</w:t>
      </w:r>
      <w:r w:rsidR="00717934" w:rsidRPr="00EC24F7">
        <w:rPr>
          <w:rFonts w:cs="Arial"/>
          <w:lang w:val="en-GB"/>
        </w:rPr>
        <w:t xml:space="preserve"> just and equitable for the unlawful occupiers to be offered </w:t>
      </w:r>
      <w:r w:rsidR="002C6C7C" w:rsidRPr="00EC24F7">
        <w:rPr>
          <w:rFonts w:cs="Arial"/>
          <w:lang w:val="en-GB"/>
        </w:rPr>
        <w:t xml:space="preserve">emergency </w:t>
      </w:r>
      <w:r w:rsidR="00717934" w:rsidRPr="00EC24F7">
        <w:rPr>
          <w:rFonts w:cs="Arial"/>
          <w:lang w:val="en-GB"/>
        </w:rPr>
        <w:t>housing</w:t>
      </w:r>
      <w:r w:rsidR="004D5A1A" w:rsidRPr="00EC24F7">
        <w:rPr>
          <w:rFonts w:cs="Arial"/>
          <w:lang w:val="en-GB"/>
        </w:rPr>
        <w:t>,</w:t>
      </w:r>
      <w:r w:rsidR="00B01BC0" w:rsidRPr="00EC24F7">
        <w:rPr>
          <w:rFonts w:cs="Arial"/>
          <w:lang w:val="en-GB"/>
        </w:rPr>
        <w:t xml:space="preserve"> </w:t>
      </w:r>
      <w:r w:rsidR="00B46AC0" w:rsidRPr="00EC24F7">
        <w:rPr>
          <w:rFonts w:cs="Arial"/>
          <w:lang w:val="en-GB"/>
        </w:rPr>
        <w:t xml:space="preserve">the City submits that </w:t>
      </w:r>
      <w:r w:rsidR="00B01BC0" w:rsidRPr="00EC24F7">
        <w:rPr>
          <w:rFonts w:cs="Arial"/>
          <w:lang w:val="en-GB"/>
        </w:rPr>
        <w:t xml:space="preserve">it </w:t>
      </w:r>
      <w:r w:rsidR="004D5A1A" w:rsidRPr="00EC24F7">
        <w:rPr>
          <w:rFonts w:cs="Arial"/>
          <w:lang w:val="en-GB"/>
        </w:rPr>
        <w:t>is</w:t>
      </w:r>
      <w:r w:rsidR="00B01BC0" w:rsidRPr="00EC24F7">
        <w:rPr>
          <w:rFonts w:cs="Arial"/>
          <w:lang w:val="en-GB"/>
        </w:rPr>
        <w:t xml:space="preserve"> appropriate for </w:t>
      </w:r>
      <w:r w:rsidR="00354762" w:rsidRPr="00EC24F7">
        <w:rPr>
          <w:rFonts w:cs="Arial"/>
          <w:color w:val="000000"/>
          <w:lang w:val="en-GB"/>
        </w:rPr>
        <w:t>Erf</w:t>
      </w:r>
      <w:r w:rsidR="00701E24" w:rsidRPr="00EC24F7">
        <w:rPr>
          <w:rFonts w:cs="Arial"/>
          <w:color w:val="000000"/>
          <w:lang w:val="en-GB"/>
        </w:rPr>
        <w:t> </w:t>
      </w:r>
      <w:r w:rsidR="00354762" w:rsidRPr="00EC24F7">
        <w:rPr>
          <w:rFonts w:cs="Arial"/>
          <w:color w:val="000000"/>
          <w:lang w:val="en-GB"/>
        </w:rPr>
        <w:t>4328, Langa (‘the</w:t>
      </w:r>
      <w:r w:rsidR="002E3206" w:rsidRPr="00EC24F7">
        <w:rPr>
          <w:rFonts w:cs="Arial"/>
          <w:color w:val="000000"/>
          <w:lang w:val="en-GB"/>
        </w:rPr>
        <w:t> </w:t>
      </w:r>
      <w:r w:rsidR="00354762" w:rsidRPr="00EC24F7">
        <w:rPr>
          <w:rFonts w:cs="Arial"/>
          <w:color w:val="000000"/>
          <w:lang w:val="en-GB"/>
        </w:rPr>
        <w:t xml:space="preserve">Langa site’) </w:t>
      </w:r>
      <w:r w:rsidR="004D5A1A" w:rsidRPr="00EC24F7">
        <w:rPr>
          <w:rFonts w:cs="Arial"/>
          <w:color w:val="000000"/>
          <w:lang w:val="en-GB"/>
        </w:rPr>
        <w:t xml:space="preserve">which is owned by Transnet </w:t>
      </w:r>
      <w:r w:rsidR="00354762" w:rsidRPr="00EC24F7">
        <w:rPr>
          <w:rFonts w:cs="Arial"/>
          <w:color w:val="000000"/>
          <w:lang w:val="en-GB"/>
        </w:rPr>
        <w:t>to be used</w:t>
      </w:r>
      <w:r w:rsidR="0012100D" w:rsidRPr="00EC24F7">
        <w:rPr>
          <w:rFonts w:cs="Arial"/>
          <w:color w:val="000000"/>
          <w:lang w:val="en-GB"/>
        </w:rPr>
        <w:t xml:space="preserve"> to provide emergency housing for the </w:t>
      </w:r>
      <w:r w:rsidR="005A6437">
        <w:rPr>
          <w:rFonts w:cs="Arial"/>
          <w:color w:val="000000"/>
          <w:lang w:val="en-GB"/>
        </w:rPr>
        <w:t xml:space="preserve">unlawful </w:t>
      </w:r>
      <w:r w:rsidR="0012100D" w:rsidRPr="00EC24F7">
        <w:rPr>
          <w:rFonts w:cs="Arial"/>
          <w:color w:val="000000"/>
          <w:lang w:val="en-GB"/>
        </w:rPr>
        <w:t xml:space="preserve">occupiers </w:t>
      </w:r>
      <w:r w:rsidR="005A6437">
        <w:rPr>
          <w:rFonts w:cs="Arial"/>
          <w:color w:val="000000"/>
          <w:lang w:val="en-GB"/>
        </w:rPr>
        <w:t>as</w:t>
      </w:r>
      <w:r w:rsidR="00E510B9" w:rsidRPr="00EC24F7">
        <w:rPr>
          <w:rFonts w:cs="Arial"/>
          <w:color w:val="000000"/>
          <w:lang w:val="en-GB"/>
        </w:rPr>
        <w:t xml:space="preserve"> </w:t>
      </w:r>
      <w:r w:rsidR="002E3206" w:rsidRPr="00EC24F7">
        <w:rPr>
          <w:rFonts w:cs="Arial"/>
          <w:color w:val="000000"/>
          <w:lang w:val="en-GB"/>
        </w:rPr>
        <w:t>Transnet,</w:t>
      </w:r>
      <w:r w:rsidR="004D5A1A" w:rsidRPr="00EC24F7">
        <w:rPr>
          <w:rFonts w:cs="Arial"/>
          <w:color w:val="000000"/>
          <w:lang w:val="en-GB"/>
        </w:rPr>
        <w:t xml:space="preserve"> </w:t>
      </w:r>
      <w:r w:rsidR="002E3206" w:rsidRPr="00EC24F7">
        <w:rPr>
          <w:rFonts w:cs="Arial"/>
          <w:color w:val="000000"/>
          <w:lang w:val="en-GB"/>
        </w:rPr>
        <w:t>despite the contradictory stance adopted in its replying affidavit</w:t>
      </w:r>
      <w:r w:rsidR="00C4130D" w:rsidRPr="00EC24F7">
        <w:rPr>
          <w:rFonts w:cs="Arial"/>
          <w:color w:val="000000"/>
          <w:lang w:val="en-GB"/>
        </w:rPr>
        <w:t>,</w:t>
      </w:r>
      <w:r w:rsidR="002E3206" w:rsidRPr="00EC24F7">
        <w:rPr>
          <w:rFonts w:cs="Arial"/>
          <w:color w:val="000000"/>
          <w:lang w:val="en-GB"/>
        </w:rPr>
        <w:t xml:space="preserve"> </w:t>
      </w:r>
      <w:r w:rsidR="00C4130D" w:rsidRPr="00EC24F7">
        <w:rPr>
          <w:rFonts w:cs="Arial"/>
          <w:color w:val="000000"/>
          <w:lang w:val="en-GB"/>
        </w:rPr>
        <w:t>is</w:t>
      </w:r>
      <w:r w:rsidR="002E3206" w:rsidRPr="00EC24F7">
        <w:rPr>
          <w:rFonts w:cs="Arial"/>
          <w:color w:val="000000"/>
          <w:lang w:val="en-GB"/>
        </w:rPr>
        <w:t xml:space="preserve"> willing to dispose of the Langa site to the City for this purpose.</w:t>
      </w:r>
      <w:r w:rsidR="004D5A1A" w:rsidRPr="00EC24F7">
        <w:rPr>
          <w:rStyle w:val="FootnoteReference"/>
          <w:rFonts w:cs="Arial"/>
          <w:color w:val="000000"/>
          <w:lang w:val="en-GB"/>
        </w:rPr>
        <w:footnoteReference w:id="7"/>
      </w:r>
    </w:p>
    <w:p w14:paraId="70F19C78" w14:textId="5EDC2BAD" w:rsidR="00354762" w:rsidRPr="00EC24F7" w:rsidRDefault="00A07B83" w:rsidP="00A86059">
      <w:pPr>
        <w:numPr>
          <w:ilvl w:val="0"/>
          <w:numId w:val="2"/>
        </w:numPr>
        <w:snapToGrid w:val="0"/>
        <w:spacing w:before="120" w:after="360" w:line="480" w:lineRule="auto"/>
        <w:jc w:val="both"/>
        <w:rPr>
          <w:rFonts w:cs="Arial"/>
          <w:lang w:val="en-GB"/>
        </w:rPr>
      </w:pPr>
      <w:r w:rsidRPr="00EC24F7">
        <w:rPr>
          <w:rFonts w:cs="Arial"/>
          <w:color w:val="000000"/>
          <w:lang w:val="en-GB"/>
        </w:rPr>
        <w:t xml:space="preserve">Insofar as </w:t>
      </w:r>
      <w:r w:rsidR="00BA6D82" w:rsidRPr="00EC24F7">
        <w:rPr>
          <w:rFonts w:cs="Arial"/>
          <w:color w:val="000000"/>
          <w:lang w:val="en-GB"/>
        </w:rPr>
        <w:t xml:space="preserve">the unlawful occupiers </w:t>
      </w:r>
      <w:r w:rsidR="00B14084" w:rsidRPr="00EC24F7">
        <w:rPr>
          <w:rFonts w:cs="Arial"/>
          <w:color w:val="000000"/>
          <w:lang w:val="en-GB"/>
        </w:rPr>
        <w:t xml:space="preserve">who are </w:t>
      </w:r>
      <w:r w:rsidR="006D2FE7" w:rsidRPr="00EC24F7">
        <w:rPr>
          <w:rFonts w:cs="Arial"/>
          <w:color w:val="000000"/>
          <w:lang w:val="en-GB"/>
        </w:rPr>
        <w:t>foreign nationals</w:t>
      </w:r>
      <w:r w:rsidR="00B14084" w:rsidRPr="00EC24F7">
        <w:rPr>
          <w:rFonts w:cs="Arial"/>
          <w:color w:val="000000"/>
          <w:lang w:val="en-GB"/>
        </w:rPr>
        <w:t xml:space="preserve"> </w:t>
      </w:r>
      <w:r w:rsidR="00BA6D82" w:rsidRPr="00EC24F7">
        <w:rPr>
          <w:rFonts w:cs="Arial"/>
          <w:color w:val="000000"/>
          <w:lang w:val="en-GB"/>
        </w:rPr>
        <w:t xml:space="preserve">is concerned, the relevant </w:t>
      </w:r>
      <w:r w:rsidR="00DA5578" w:rsidRPr="00EC24F7">
        <w:rPr>
          <w:rFonts w:cs="Arial"/>
          <w:color w:val="000000"/>
          <w:lang w:val="en-GB"/>
        </w:rPr>
        <w:t xml:space="preserve">legislative </w:t>
      </w:r>
      <w:r w:rsidR="00BA6D82" w:rsidRPr="00EC24F7">
        <w:rPr>
          <w:rFonts w:cs="Arial"/>
          <w:color w:val="000000"/>
          <w:lang w:val="en-GB"/>
        </w:rPr>
        <w:t xml:space="preserve">provisions </w:t>
      </w:r>
      <w:r w:rsidR="006D2FE7" w:rsidRPr="00EC24F7">
        <w:rPr>
          <w:rFonts w:cs="Arial"/>
          <w:color w:val="000000"/>
          <w:lang w:val="en-GB"/>
        </w:rPr>
        <w:t>mandate that foreign nationals who are not lawfully present in South Africa (‘undocumented foreign</w:t>
      </w:r>
      <w:r w:rsidR="00F840A6" w:rsidRPr="00EC24F7">
        <w:rPr>
          <w:rFonts w:cs="Arial"/>
          <w:color w:val="000000"/>
          <w:lang w:val="en-GB"/>
        </w:rPr>
        <w:t xml:space="preserve"> nationals</w:t>
      </w:r>
      <w:r w:rsidR="006D2FE7" w:rsidRPr="00EC24F7">
        <w:rPr>
          <w:rFonts w:cs="Arial"/>
          <w:color w:val="000000"/>
          <w:lang w:val="en-GB"/>
        </w:rPr>
        <w:t xml:space="preserve">’) </w:t>
      </w:r>
      <w:r w:rsidR="00E33069" w:rsidRPr="00EC24F7">
        <w:rPr>
          <w:rFonts w:cs="Arial"/>
          <w:color w:val="000000"/>
          <w:lang w:val="en-GB"/>
        </w:rPr>
        <w:t xml:space="preserve">are </w:t>
      </w:r>
      <w:r w:rsidR="00E33069" w:rsidRPr="00EC24F7">
        <w:rPr>
          <w:rFonts w:cs="Arial"/>
          <w:lang w:val="en-GB"/>
        </w:rPr>
        <w:t xml:space="preserve">to be assisted with </w:t>
      </w:r>
      <w:r w:rsidR="00E33069" w:rsidRPr="00EC24F7">
        <w:rPr>
          <w:rFonts w:cs="Arial"/>
          <w:lang w:val="en-GB"/>
        </w:rPr>
        <w:lastRenderedPageBreak/>
        <w:t>emergency housing on the conditions prescribed by the fourth respondent (‘DHA’) on a case-by-case basis</w:t>
      </w:r>
      <w:r w:rsidR="00F840A6" w:rsidRPr="00EC24F7">
        <w:rPr>
          <w:rFonts w:cs="Arial"/>
          <w:lang w:val="en-GB"/>
        </w:rPr>
        <w:t xml:space="preserve">.  The </w:t>
      </w:r>
      <w:r w:rsidR="001704F0" w:rsidRPr="00EC24F7">
        <w:rPr>
          <w:rFonts w:cs="Arial"/>
          <w:lang w:val="en-GB"/>
        </w:rPr>
        <w:t xml:space="preserve">City </w:t>
      </w:r>
      <w:r w:rsidR="00F840A6" w:rsidRPr="00EC24F7">
        <w:rPr>
          <w:rFonts w:cs="Arial"/>
          <w:lang w:val="en-GB"/>
        </w:rPr>
        <w:t xml:space="preserve">contends that it is therefore incumbent on DHA to give directions to the City and Transnet as to the manner </w:t>
      </w:r>
      <w:r w:rsidR="00F840A6" w:rsidRPr="00EC24F7">
        <w:rPr>
          <w:rFonts w:cs="Arial"/>
          <w:color w:val="000000"/>
          <w:lang w:val="en-GB"/>
        </w:rPr>
        <w:t xml:space="preserve">in which </w:t>
      </w:r>
      <w:r w:rsidR="00F840A6" w:rsidRPr="00EC24F7">
        <w:rPr>
          <w:rFonts w:cs="Arial"/>
          <w:lang w:val="en-GB"/>
        </w:rPr>
        <w:t>undocumented foreign nationals</w:t>
      </w:r>
      <w:r w:rsidR="00F840A6" w:rsidRPr="00EC24F7">
        <w:rPr>
          <w:rFonts w:cs="Arial"/>
          <w:color w:val="000000"/>
          <w:lang w:val="en-GB"/>
        </w:rPr>
        <w:t xml:space="preserve"> fall to be treated in this eviction as </w:t>
      </w:r>
      <w:r w:rsidR="00F840A6" w:rsidRPr="00EC24F7">
        <w:rPr>
          <w:rFonts w:cs="Arial"/>
          <w:lang w:val="en-GB"/>
        </w:rPr>
        <w:t>the provisions of the National Housing Code, 2009 (‘the Housing</w:t>
      </w:r>
      <w:r w:rsidR="001704F0" w:rsidRPr="00EC24F7">
        <w:rPr>
          <w:rFonts w:cs="Arial"/>
          <w:lang w:val="en-GB"/>
        </w:rPr>
        <w:t> </w:t>
      </w:r>
      <w:r w:rsidR="00F840A6" w:rsidRPr="00EC24F7">
        <w:rPr>
          <w:rFonts w:cs="Arial"/>
          <w:lang w:val="en-GB"/>
        </w:rPr>
        <w:t xml:space="preserve">Code’) enacted in terms of </w:t>
      </w:r>
      <w:r w:rsidR="00E25FD2" w:rsidRPr="00EC24F7">
        <w:rPr>
          <w:rFonts w:cs="Arial"/>
          <w:lang w:val="en-GB"/>
        </w:rPr>
        <w:t xml:space="preserve">s 4 </w:t>
      </w:r>
      <w:r w:rsidR="00F840A6" w:rsidRPr="00EC24F7">
        <w:rPr>
          <w:rFonts w:cs="Arial"/>
          <w:lang w:val="en-GB"/>
        </w:rPr>
        <w:t xml:space="preserve">the National Housing Act </w:t>
      </w:r>
      <w:r w:rsidR="00E25FD2" w:rsidRPr="00EC24F7">
        <w:rPr>
          <w:rFonts w:cs="Arial"/>
          <w:lang w:val="en-GB"/>
        </w:rPr>
        <w:t>107 of 1997 (‘the</w:t>
      </w:r>
      <w:r w:rsidR="001704F0" w:rsidRPr="00EC24F7">
        <w:rPr>
          <w:rFonts w:cs="Arial"/>
          <w:lang w:val="en-GB"/>
        </w:rPr>
        <w:t> </w:t>
      </w:r>
      <w:r w:rsidR="00E25FD2" w:rsidRPr="00EC24F7">
        <w:rPr>
          <w:rFonts w:cs="Arial"/>
          <w:lang w:val="en-GB"/>
        </w:rPr>
        <w:t>Housing</w:t>
      </w:r>
      <w:r w:rsidR="001704F0" w:rsidRPr="00EC24F7">
        <w:rPr>
          <w:rFonts w:cs="Arial"/>
          <w:lang w:val="en-GB"/>
        </w:rPr>
        <w:t> </w:t>
      </w:r>
      <w:r w:rsidR="00E25FD2" w:rsidRPr="00EC24F7">
        <w:rPr>
          <w:rFonts w:cs="Arial"/>
          <w:lang w:val="en-GB"/>
        </w:rPr>
        <w:t xml:space="preserve">Act’) provides that </w:t>
      </w:r>
      <w:r w:rsidR="00F840A6" w:rsidRPr="00EC24F7">
        <w:rPr>
          <w:rFonts w:cs="Arial"/>
          <w:color w:val="000000"/>
          <w:lang w:val="en-GB"/>
        </w:rPr>
        <w:t xml:space="preserve">the manner in which </w:t>
      </w:r>
      <w:r w:rsidR="00F840A6" w:rsidRPr="00EC24F7">
        <w:rPr>
          <w:rFonts w:cs="Arial"/>
          <w:lang w:val="en-GB"/>
        </w:rPr>
        <w:t>undocumented foreign nationals</w:t>
      </w:r>
      <w:r w:rsidR="00F840A6" w:rsidRPr="00EC24F7">
        <w:rPr>
          <w:rFonts w:cs="Arial"/>
          <w:color w:val="000000"/>
          <w:lang w:val="en-GB"/>
        </w:rPr>
        <w:t xml:space="preserve"> fall to be treated in an eviction falls within the remit of the DHA.</w:t>
      </w:r>
      <w:r w:rsidR="001704F0" w:rsidRPr="00EC24F7">
        <w:rPr>
          <w:rStyle w:val="FootnoteReference"/>
          <w:rFonts w:cs="Arial"/>
          <w:color w:val="000000"/>
          <w:lang w:val="en-GB"/>
        </w:rPr>
        <w:footnoteReference w:id="8"/>
      </w:r>
      <w:r w:rsidR="00F840A6" w:rsidRPr="00EC24F7">
        <w:rPr>
          <w:rFonts w:cs="Arial"/>
          <w:color w:val="000000"/>
          <w:lang w:val="en-GB"/>
        </w:rPr>
        <w:t xml:space="preserve">  </w:t>
      </w:r>
    </w:p>
    <w:p w14:paraId="608B0441" w14:textId="77777777" w:rsidR="004D155D" w:rsidRPr="00EC24F7" w:rsidRDefault="007034EC" w:rsidP="000904DF">
      <w:pPr>
        <w:numPr>
          <w:ilvl w:val="0"/>
          <w:numId w:val="2"/>
        </w:numPr>
        <w:snapToGrid w:val="0"/>
        <w:spacing w:before="120" w:after="360" w:line="480" w:lineRule="auto"/>
        <w:jc w:val="both"/>
        <w:rPr>
          <w:rFonts w:cs="Arial"/>
          <w:lang w:val="en-GB"/>
        </w:rPr>
      </w:pPr>
      <w:r w:rsidRPr="00EC24F7">
        <w:rPr>
          <w:rFonts w:cs="Arial"/>
          <w:lang w:val="en-GB"/>
        </w:rPr>
        <w:t>D</w:t>
      </w:r>
      <w:r w:rsidR="008B7E96" w:rsidRPr="00EC24F7">
        <w:rPr>
          <w:rFonts w:cs="Arial"/>
          <w:lang w:val="en-GB"/>
        </w:rPr>
        <w:t xml:space="preserve">espite the strident objections of Transnet and </w:t>
      </w:r>
      <w:r w:rsidRPr="00EC24F7">
        <w:rPr>
          <w:rFonts w:cs="Arial"/>
          <w:lang w:val="en-GB"/>
        </w:rPr>
        <w:t>the unlawful occupiers</w:t>
      </w:r>
      <w:r w:rsidR="008B7E96" w:rsidRPr="00EC24F7">
        <w:rPr>
          <w:rFonts w:cs="Arial"/>
          <w:lang w:val="en-GB"/>
        </w:rPr>
        <w:t xml:space="preserve">, the City’s </w:t>
      </w:r>
      <w:r w:rsidRPr="00EC24F7">
        <w:rPr>
          <w:rFonts w:cs="Arial"/>
          <w:lang w:val="en-GB"/>
        </w:rPr>
        <w:t>position</w:t>
      </w:r>
      <w:r w:rsidR="008B7E96" w:rsidRPr="00EC24F7">
        <w:rPr>
          <w:rFonts w:cs="Arial"/>
          <w:lang w:val="en-GB"/>
        </w:rPr>
        <w:t xml:space="preserve"> </w:t>
      </w:r>
      <w:r w:rsidR="00732A03" w:rsidRPr="00EC24F7">
        <w:rPr>
          <w:rFonts w:cs="Arial"/>
          <w:lang w:val="en-GB"/>
        </w:rPr>
        <w:t xml:space="preserve">regarding its obligations to provide emergency housing </w:t>
      </w:r>
      <w:r w:rsidRPr="00EC24F7">
        <w:rPr>
          <w:rFonts w:cs="Arial"/>
          <w:lang w:val="en-GB"/>
        </w:rPr>
        <w:t xml:space="preserve">accords </w:t>
      </w:r>
      <w:r w:rsidR="008B7E96" w:rsidRPr="00EC24F7">
        <w:rPr>
          <w:rFonts w:cs="Arial"/>
          <w:lang w:val="en-GB"/>
        </w:rPr>
        <w:t xml:space="preserve">with the prevailing </w:t>
      </w:r>
      <w:r w:rsidRPr="00EC24F7">
        <w:rPr>
          <w:rFonts w:cs="Arial"/>
          <w:lang w:val="en-GB"/>
        </w:rPr>
        <w:t xml:space="preserve">jurisprudence which makes it clear that the just and equitable enquiry that a Court </w:t>
      </w:r>
      <w:r w:rsidR="00F323AC" w:rsidRPr="00EC24F7">
        <w:rPr>
          <w:rFonts w:cs="Arial"/>
          <w:lang w:val="en-GB"/>
        </w:rPr>
        <w:t>must</w:t>
      </w:r>
      <w:r w:rsidRPr="00EC24F7">
        <w:rPr>
          <w:rFonts w:cs="Arial"/>
          <w:lang w:val="en-GB"/>
        </w:rPr>
        <w:t xml:space="preserve"> engage in </w:t>
      </w:r>
      <w:r w:rsidR="00AE074F" w:rsidRPr="00EC24F7">
        <w:rPr>
          <w:rFonts w:cs="Arial"/>
          <w:lang w:val="en-GB"/>
        </w:rPr>
        <w:t xml:space="preserve">when it is called on to make an order in eviction proceedings in terms of PIE </w:t>
      </w:r>
      <w:r w:rsidR="008B7E96" w:rsidRPr="00EC24F7">
        <w:rPr>
          <w:rFonts w:cs="Arial"/>
          <w:lang w:val="en-GB"/>
        </w:rPr>
        <w:t>is a fact specific enquiry</w:t>
      </w:r>
      <w:r w:rsidR="00AE074F" w:rsidRPr="00EC24F7">
        <w:rPr>
          <w:rFonts w:cs="Arial"/>
          <w:lang w:val="en-GB"/>
        </w:rPr>
        <w:t xml:space="preserve"> which requires the Court to balance all relevant factors including</w:t>
      </w:r>
      <w:r w:rsidR="006B721C" w:rsidRPr="00EC24F7">
        <w:rPr>
          <w:rFonts w:cs="Arial"/>
          <w:lang w:val="en-GB"/>
        </w:rPr>
        <w:t xml:space="preserve">, </w:t>
      </w:r>
      <w:r w:rsidR="006B721C" w:rsidRPr="00EC24F7">
        <w:rPr>
          <w:rFonts w:cs="Arial"/>
          <w:i/>
          <w:iCs/>
          <w:lang w:val="en-GB"/>
        </w:rPr>
        <w:t>inter alia</w:t>
      </w:r>
      <w:r w:rsidR="006B721C" w:rsidRPr="00EC24F7">
        <w:rPr>
          <w:rFonts w:cs="Arial"/>
          <w:lang w:val="en-GB"/>
        </w:rPr>
        <w:t>,</w:t>
      </w:r>
      <w:r w:rsidR="00AE074F" w:rsidRPr="00EC24F7">
        <w:rPr>
          <w:rFonts w:cs="Arial"/>
          <w:lang w:val="en-GB"/>
        </w:rPr>
        <w:t xml:space="preserve"> the nature of the occupation and the circumstances </w:t>
      </w:r>
      <w:r w:rsidR="006B721C" w:rsidRPr="00EC24F7">
        <w:rPr>
          <w:rFonts w:cs="Arial"/>
          <w:lang w:val="en-GB"/>
        </w:rPr>
        <w:t xml:space="preserve">in which the occupation took place. </w:t>
      </w:r>
    </w:p>
    <w:p w14:paraId="67C74262" w14:textId="6363B629" w:rsidR="008B7E96" w:rsidRPr="00EC24F7" w:rsidRDefault="00A12E0E" w:rsidP="000904DF">
      <w:pPr>
        <w:numPr>
          <w:ilvl w:val="0"/>
          <w:numId w:val="2"/>
        </w:numPr>
        <w:snapToGrid w:val="0"/>
        <w:spacing w:before="120" w:after="360" w:line="480" w:lineRule="auto"/>
        <w:jc w:val="both"/>
        <w:rPr>
          <w:rFonts w:cs="Arial"/>
          <w:lang w:val="en-GB"/>
        </w:rPr>
      </w:pPr>
      <w:r w:rsidRPr="00EC24F7">
        <w:rPr>
          <w:rFonts w:cs="Arial"/>
          <w:lang w:val="en-GB"/>
        </w:rPr>
        <w:t xml:space="preserve">The position </w:t>
      </w:r>
      <w:r w:rsidR="00C87ADA" w:rsidRPr="00EC24F7">
        <w:rPr>
          <w:rFonts w:cs="Arial"/>
          <w:lang w:val="en-GB"/>
        </w:rPr>
        <w:t xml:space="preserve">adopted by </w:t>
      </w:r>
      <w:r w:rsidRPr="00EC24F7">
        <w:rPr>
          <w:rFonts w:cs="Arial"/>
          <w:lang w:val="en-GB"/>
        </w:rPr>
        <w:t xml:space="preserve">Transnet and the unlawful occupiers that </w:t>
      </w:r>
      <w:r w:rsidR="00D4011F" w:rsidRPr="00EC24F7">
        <w:rPr>
          <w:rFonts w:cs="Arial"/>
          <w:lang w:val="en-GB"/>
        </w:rPr>
        <w:t xml:space="preserve">it can </w:t>
      </w:r>
      <w:r w:rsidR="00D4011F" w:rsidRPr="00EC24F7">
        <w:rPr>
          <w:rFonts w:cs="Arial"/>
          <w:u w:val="single"/>
          <w:lang w:val="en-GB"/>
        </w:rPr>
        <w:t>never</w:t>
      </w:r>
      <w:r w:rsidR="00D4011F" w:rsidRPr="00EC24F7">
        <w:rPr>
          <w:rFonts w:cs="Arial"/>
          <w:lang w:val="en-GB"/>
        </w:rPr>
        <w:t xml:space="preserve"> </w:t>
      </w:r>
      <w:r w:rsidR="00D47932" w:rsidRPr="00EC24F7">
        <w:rPr>
          <w:rFonts w:cs="Arial"/>
          <w:lang w:val="en-GB"/>
        </w:rPr>
        <w:t>be</w:t>
      </w:r>
      <w:r w:rsidR="00D4011F" w:rsidRPr="00EC24F7">
        <w:rPr>
          <w:rFonts w:cs="Arial"/>
          <w:lang w:val="en-GB"/>
        </w:rPr>
        <w:t xml:space="preserve"> just and equitable for an unlawful occupier to evicted without an offer of emergency housing if homelessness may result </w:t>
      </w:r>
      <w:r w:rsidR="00C87ADA" w:rsidRPr="00EC24F7">
        <w:rPr>
          <w:rFonts w:cs="Arial"/>
          <w:lang w:val="en-GB"/>
        </w:rPr>
        <w:t xml:space="preserve">is premised on a </w:t>
      </w:r>
      <w:r w:rsidR="007332E3" w:rsidRPr="00EC24F7">
        <w:rPr>
          <w:rFonts w:cs="Arial"/>
          <w:lang w:val="en-GB"/>
        </w:rPr>
        <w:t>misreading of the established jurisprudence.</w:t>
      </w:r>
      <w:r w:rsidR="00D4011F" w:rsidRPr="00EC24F7">
        <w:rPr>
          <w:rFonts w:cs="Arial"/>
          <w:lang w:val="en-GB"/>
        </w:rPr>
        <w:t xml:space="preserve">  </w:t>
      </w:r>
    </w:p>
    <w:p w14:paraId="115A7923" w14:textId="1A48F060" w:rsidR="000E6491" w:rsidRPr="00EC24F7" w:rsidRDefault="000E6491" w:rsidP="00EB4D31">
      <w:pPr>
        <w:keepNext/>
        <w:keepLines/>
        <w:numPr>
          <w:ilvl w:val="0"/>
          <w:numId w:val="2"/>
        </w:numPr>
        <w:snapToGrid w:val="0"/>
        <w:spacing w:before="120" w:after="360" w:line="480" w:lineRule="auto"/>
        <w:jc w:val="both"/>
        <w:rPr>
          <w:rFonts w:cs="Arial"/>
          <w:lang w:val="en-GB"/>
        </w:rPr>
      </w:pPr>
      <w:r w:rsidRPr="00EC24F7">
        <w:rPr>
          <w:rFonts w:cs="Arial"/>
          <w:lang w:val="en-GB"/>
        </w:rPr>
        <w:lastRenderedPageBreak/>
        <w:t xml:space="preserve">In </w:t>
      </w:r>
      <w:r w:rsidR="00602B1F" w:rsidRPr="00EC24F7">
        <w:rPr>
          <w:rFonts w:cs="Arial"/>
          <w:lang w:val="en-GB"/>
        </w:rPr>
        <w:t xml:space="preserve">these heads of argument </w:t>
      </w:r>
      <w:r w:rsidR="00463D22" w:rsidRPr="00EC24F7">
        <w:rPr>
          <w:rFonts w:cs="Arial"/>
          <w:lang w:val="en-GB"/>
        </w:rPr>
        <w:t>we address</w:t>
      </w:r>
      <w:r w:rsidR="00602B1F" w:rsidRPr="00EC24F7">
        <w:rPr>
          <w:rFonts w:cs="Arial"/>
          <w:lang w:val="en-GB"/>
        </w:rPr>
        <w:t xml:space="preserve">: </w:t>
      </w:r>
    </w:p>
    <w:p w14:paraId="2CCF36C6" w14:textId="3B489343" w:rsidR="00A378DA" w:rsidRPr="00EC24F7" w:rsidRDefault="00271B90" w:rsidP="00767170">
      <w:pPr>
        <w:numPr>
          <w:ilvl w:val="1"/>
          <w:numId w:val="2"/>
        </w:numPr>
        <w:snapToGrid w:val="0"/>
        <w:spacing w:before="120" w:after="360" w:line="480" w:lineRule="auto"/>
        <w:jc w:val="both"/>
        <w:rPr>
          <w:rFonts w:cs="Arial"/>
          <w:lang w:val="en-GB"/>
        </w:rPr>
      </w:pPr>
      <w:r w:rsidRPr="00EC24F7">
        <w:rPr>
          <w:rFonts w:cs="Arial"/>
          <w:lang w:val="en-GB"/>
        </w:rPr>
        <w:t>T</w:t>
      </w:r>
      <w:r w:rsidR="00324FD2" w:rsidRPr="00EC24F7">
        <w:rPr>
          <w:rFonts w:cs="Arial"/>
          <w:lang w:val="en-GB"/>
        </w:rPr>
        <w:t xml:space="preserve">he </w:t>
      </w:r>
      <w:r w:rsidR="00E81470" w:rsidRPr="00EC24F7">
        <w:rPr>
          <w:rFonts w:cs="Arial"/>
          <w:lang w:val="en-GB"/>
        </w:rPr>
        <w:t xml:space="preserve">failure of the unlawful occupiers to put up </w:t>
      </w:r>
      <w:r w:rsidRPr="00EC24F7">
        <w:rPr>
          <w:rFonts w:cs="Arial"/>
          <w:lang w:val="en-GB"/>
        </w:rPr>
        <w:t xml:space="preserve">any </w:t>
      </w:r>
      <w:r w:rsidR="00E81470" w:rsidRPr="00EC24F7">
        <w:rPr>
          <w:rFonts w:cs="Arial"/>
          <w:lang w:val="en-GB"/>
        </w:rPr>
        <w:t xml:space="preserve">admissible evidence on oath. </w:t>
      </w:r>
      <w:r w:rsidR="00F14C77" w:rsidRPr="00EC24F7">
        <w:rPr>
          <w:rFonts w:cs="Arial"/>
          <w:lang w:val="en-GB"/>
        </w:rPr>
        <w:t xml:space="preserve"> </w:t>
      </w:r>
      <w:r w:rsidR="00E81470" w:rsidRPr="00EC24F7">
        <w:rPr>
          <w:rFonts w:cs="Arial"/>
          <w:lang w:val="en-GB"/>
        </w:rPr>
        <w:t xml:space="preserve">In this section we deal with the application to strike out </w:t>
      </w:r>
      <w:r w:rsidR="00F14C77" w:rsidRPr="00EC24F7">
        <w:rPr>
          <w:rFonts w:cs="Arial"/>
          <w:lang w:val="en-GB"/>
        </w:rPr>
        <w:t xml:space="preserve">certain portions of the </w:t>
      </w:r>
      <w:r w:rsidR="00F41917" w:rsidRPr="00EC24F7">
        <w:rPr>
          <w:rFonts w:cs="Arial"/>
          <w:lang w:val="en-GB"/>
        </w:rPr>
        <w:t>answering affidavit of</w:t>
      </w:r>
      <w:r w:rsidR="00E81470" w:rsidRPr="00EC24F7">
        <w:rPr>
          <w:rFonts w:cs="Arial"/>
          <w:lang w:val="en-GB"/>
        </w:rPr>
        <w:t xml:space="preserve"> </w:t>
      </w:r>
      <w:r w:rsidR="00DA70E9" w:rsidRPr="00EC24F7">
        <w:rPr>
          <w:rFonts w:cs="Arial"/>
          <w:lang w:val="en-GB"/>
        </w:rPr>
        <w:t>Mr Al</w:t>
      </w:r>
      <w:r w:rsidR="0075133C" w:rsidRPr="00EC24F7">
        <w:rPr>
          <w:rFonts w:cs="Arial"/>
          <w:lang w:val="en-GB"/>
        </w:rPr>
        <w:t>ly </w:t>
      </w:r>
      <w:r w:rsidR="00DA70E9" w:rsidRPr="00EC24F7">
        <w:rPr>
          <w:rFonts w:cs="Arial"/>
          <w:lang w:val="en-GB"/>
        </w:rPr>
        <w:t>Al-Habsy (‘Mr Al-Habsy’).</w:t>
      </w:r>
    </w:p>
    <w:p w14:paraId="2DA4EE29" w14:textId="3D5CB898" w:rsidR="00602B1F" w:rsidRDefault="00271B90" w:rsidP="00602B1F">
      <w:pPr>
        <w:numPr>
          <w:ilvl w:val="1"/>
          <w:numId w:val="2"/>
        </w:numPr>
        <w:snapToGrid w:val="0"/>
        <w:spacing w:before="120" w:after="360" w:line="480" w:lineRule="auto"/>
        <w:jc w:val="both"/>
        <w:rPr>
          <w:rFonts w:cs="Arial"/>
          <w:lang w:val="en-GB"/>
        </w:rPr>
      </w:pPr>
      <w:r w:rsidRPr="00EC24F7">
        <w:rPr>
          <w:rFonts w:cs="Arial"/>
          <w:lang w:val="en-GB"/>
        </w:rPr>
        <w:t>T</w:t>
      </w:r>
      <w:r w:rsidR="00602B1F" w:rsidRPr="00EC24F7">
        <w:rPr>
          <w:rFonts w:cs="Arial"/>
          <w:lang w:val="en-GB"/>
        </w:rPr>
        <w:t xml:space="preserve">he common cause </w:t>
      </w:r>
      <w:r w:rsidR="009E6A31" w:rsidRPr="00EC24F7">
        <w:rPr>
          <w:rFonts w:cs="Arial"/>
          <w:lang w:val="en-GB"/>
        </w:rPr>
        <w:t xml:space="preserve">and undisputed </w:t>
      </w:r>
      <w:r w:rsidR="00602B1F" w:rsidRPr="00EC24F7">
        <w:rPr>
          <w:rFonts w:cs="Arial"/>
          <w:lang w:val="en-GB"/>
        </w:rPr>
        <w:t>facts</w:t>
      </w:r>
      <w:r w:rsidR="00BF34A6" w:rsidRPr="00EC24F7">
        <w:rPr>
          <w:rFonts w:cs="Arial"/>
          <w:lang w:val="en-GB"/>
        </w:rPr>
        <w:t>.</w:t>
      </w:r>
      <w:r w:rsidR="00602B1F" w:rsidRPr="00EC24F7">
        <w:rPr>
          <w:rFonts w:cs="Arial"/>
          <w:lang w:val="en-GB"/>
        </w:rPr>
        <w:t xml:space="preserve"> </w:t>
      </w:r>
    </w:p>
    <w:p w14:paraId="16AD86B6" w14:textId="7872D8FE" w:rsidR="006E639B" w:rsidRPr="006E639B" w:rsidRDefault="006E639B" w:rsidP="006E639B">
      <w:pPr>
        <w:numPr>
          <w:ilvl w:val="1"/>
          <w:numId w:val="2"/>
        </w:numPr>
        <w:snapToGrid w:val="0"/>
        <w:spacing w:before="120" w:after="360" w:line="480" w:lineRule="auto"/>
        <w:jc w:val="both"/>
        <w:rPr>
          <w:rFonts w:cs="Arial"/>
          <w:lang w:val="en-GB"/>
        </w:rPr>
      </w:pPr>
      <w:r w:rsidRPr="00EC24F7">
        <w:rPr>
          <w:rFonts w:cs="Arial"/>
          <w:lang w:val="en-GB"/>
        </w:rPr>
        <w:t xml:space="preserve">Why the eviction of the unlawful occupiers is </w:t>
      </w:r>
      <w:r>
        <w:rPr>
          <w:rFonts w:cs="Arial"/>
          <w:lang w:val="en-GB"/>
        </w:rPr>
        <w:t xml:space="preserve">both lawful and </w:t>
      </w:r>
      <w:r w:rsidRPr="00EC24F7">
        <w:rPr>
          <w:rFonts w:cs="Arial"/>
          <w:lang w:val="en-GB"/>
        </w:rPr>
        <w:t xml:space="preserve">just and equitable in the absence of an offer of emergency housing.  </w:t>
      </w:r>
    </w:p>
    <w:p w14:paraId="4BCA1FF0" w14:textId="0F3EACBD" w:rsidR="00EC01F0" w:rsidRPr="00EC24F7" w:rsidRDefault="00EC01F0" w:rsidP="00602B1F">
      <w:pPr>
        <w:numPr>
          <w:ilvl w:val="1"/>
          <w:numId w:val="2"/>
        </w:numPr>
        <w:snapToGrid w:val="0"/>
        <w:spacing w:before="120" w:after="360" w:line="480" w:lineRule="auto"/>
        <w:jc w:val="both"/>
        <w:rPr>
          <w:rFonts w:cs="Arial"/>
          <w:lang w:val="en-GB"/>
        </w:rPr>
      </w:pPr>
      <w:r w:rsidRPr="00EC24F7">
        <w:rPr>
          <w:rFonts w:cs="Arial"/>
          <w:lang w:val="en-GB"/>
        </w:rPr>
        <w:t>The City’s attempts at meaningful engagement and the obligations of Transnet and the unlawful occupiers in regard to meaningful engagement.</w:t>
      </w:r>
    </w:p>
    <w:p w14:paraId="2EB49C7B" w14:textId="77777777" w:rsidR="00E454F6" w:rsidRPr="00EC24F7" w:rsidRDefault="00277BD6" w:rsidP="00E454F6">
      <w:pPr>
        <w:numPr>
          <w:ilvl w:val="1"/>
          <w:numId w:val="2"/>
        </w:numPr>
        <w:snapToGrid w:val="0"/>
        <w:spacing w:before="120" w:after="360" w:line="480" w:lineRule="auto"/>
        <w:jc w:val="both"/>
        <w:rPr>
          <w:rFonts w:cs="Arial"/>
          <w:lang w:val="en-GB"/>
        </w:rPr>
      </w:pPr>
      <w:r w:rsidRPr="00EC24F7">
        <w:rPr>
          <w:rFonts w:cs="Arial"/>
          <w:lang w:val="en-GB"/>
        </w:rPr>
        <w:t xml:space="preserve">The City’s position in respect of emergency housing if the Court </w:t>
      </w:r>
      <w:r w:rsidR="00E454F6" w:rsidRPr="00EC24F7">
        <w:rPr>
          <w:rFonts w:cs="Arial"/>
          <w:lang w:val="en-GB"/>
        </w:rPr>
        <w:t>finds that the unlawful occupiers are entitled to emergency housing.  In this section we deal with:</w:t>
      </w:r>
    </w:p>
    <w:p w14:paraId="7E2BECC0" w14:textId="3B595913" w:rsidR="00E454F6" w:rsidRDefault="00E454F6" w:rsidP="00E454F6">
      <w:pPr>
        <w:numPr>
          <w:ilvl w:val="2"/>
          <w:numId w:val="2"/>
        </w:numPr>
        <w:snapToGrid w:val="0"/>
        <w:spacing w:before="120" w:after="360" w:line="480" w:lineRule="auto"/>
        <w:jc w:val="both"/>
        <w:rPr>
          <w:rFonts w:cs="Arial"/>
          <w:lang w:val="en-GB"/>
        </w:rPr>
      </w:pPr>
      <w:r w:rsidRPr="00EC24F7">
        <w:rPr>
          <w:rFonts w:cs="Arial"/>
          <w:lang w:val="en-GB"/>
        </w:rPr>
        <w:t xml:space="preserve">Transnet’s </w:t>
      </w:r>
      <w:r w:rsidR="00CD3FDB" w:rsidRPr="00EC24F7">
        <w:rPr>
          <w:rFonts w:cs="Arial"/>
          <w:lang w:val="en-GB"/>
        </w:rPr>
        <w:t xml:space="preserve">misplaced </w:t>
      </w:r>
      <w:r w:rsidRPr="00EC24F7">
        <w:rPr>
          <w:rFonts w:cs="Arial"/>
          <w:lang w:val="en-GB"/>
        </w:rPr>
        <w:t>contention that it bears no responsibility in respect of emergency housing;</w:t>
      </w:r>
    </w:p>
    <w:p w14:paraId="505F2F51" w14:textId="43E6AEA8" w:rsidR="00BD5586" w:rsidRPr="00EC24F7" w:rsidRDefault="00BD5586" w:rsidP="00E454F6">
      <w:pPr>
        <w:numPr>
          <w:ilvl w:val="2"/>
          <w:numId w:val="2"/>
        </w:numPr>
        <w:snapToGrid w:val="0"/>
        <w:spacing w:before="120" w:after="360" w:line="480" w:lineRule="auto"/>
        <w:jc w:val="both"/>
        <w:rPr>
          <w:rFonts w:cs="Arial"/>
          <w:lang w:val="en-GB"/>
        </w:rPr>
      </w:pPr>
      <w:r>
        <w:rPr>
          <w:rFonts w:cs="Arial"/>
          <w:lang w:val="en-GB"/>
        </w:rPr>
        <w:t xml:space="preserve">The uncontested fact that the City has no suitable land </w:t>
      </w:r>
      <w:r w:rsidRPr="00EC24F7">
        <w:rPr>
          <w:rFonts w:cs="Arial"/>
          <w:lang w:val="en-GB"/>
        </w:rPr>
        <w:t>emergency housing for the unlawful occupiers</w:t>
      </w:r>
      <w:r>
        <w:rPr>
          <w:rFonts w:cs="Arial"/>
          <w:lang w:val="en-GB"/>
        </w:rPr>
        <w:t>;</w:t>
      </w:r>
    </w:p>
    <w:p w14:paraId="75A93576" w14:textId="67015CFE" w:rsidR="00E454F6" w:rsidRPr="00EC24F7" w:rsidRDefault="00CD3FDB" w:rsidP="00E454F6">
      <w:pPr>
        <w:numPr>
          <w:ilvl w:val="2"/>
          <w:numId w:val="2"/>
        </w:numPr>
        <w:snapToGrid w:val="0"/>
        <w:spacing w:before="120" w:after="360" w:line="480" w:lineRule="auto"/>
        <w:jc w:val="both"/>
        <w:rPr>
          <w:rFonts w:cs="Arial"/>
          <w:lang w:val="en-GB"/>
        </w:rPr>
      </w:pPr>
      <w:r w:rsidRPr="00EC24F7">
        <w:rPr>
          <w:rFonts w:cs="Arial"/>
          <w:lang w:val="en-GB"/>
        </w:rPr>
        <w:t>T</w:t>
      </w:r>
      <w:r w:rsidR="00E454F6" w:rsidRPr="00EC24F7">
        <w:rPr>
          <w:rFonts w:cs="Arial"/>
          <w:lang w:val="en-GB"/>
        </w:rPr>
        <w:t xml:space="preserve">he </w:t>
      </w:r>
      <w:r w:rsidRPr="00EC24F7">
        <w:rPr>
          <w:rFonts w:cs="Arial"/>
          <w:lang w:val="en-GB"/>
        </w:rPr>
        <w:t>in</w:t>
      </w:r>
      <w:r w:rsidR="00E454F6" w:rsidRPr="00EC24F7">
        <w:rPr>
          <w:rFonts w:cs="Arial"/>
          <w:lang w:val="en-GB"/>
        </w:rPr>
        <w:t>appropriateness of City Safe Spaces;</w:t>
      </w:r>
    </w:p>
    <w:p w14:paraId="00E3A904" w14:textId="2CCA4275" w:rsidR="00E555DE" w:rsidRPr="00EC24F7" w:rsidRDefault="00CD3FDB" w:rsidP="00195666">
      <w:pPr>
        <w:numPr>
          <w:ilvl w:val="2"/>
          <w:numId w:val="2"/>
        </w:numPr>
        <w:snapToGrid w:val="0"/>
        <w:spacing w:before="120" w:after="360" w:line="480" w:lineRule="auto"/>
        <w:jc w:val="both"/>
        <w:rPr>
          <w:rFonts w:cs="Arial"/>
          <w:lang w:val="en-GB"/>
        </w:rPr>
      </w:pPr>
      <w:r w:rsidRPr="00EC24F7">
        <w:rPr>
          <w:rFonts w:cs="Arial"/>
          <w:lang w:val="en-GB"/>
        </w:rPr>
        <w:t>T</w:t>
      </w:r>
      <w:r w:rsidR="00195666" w:rsidRPr="00EC24F7">
        <w:rPr>
          <w:rFonts w:cs="Arial"/>
          <w:lang w:val="en-GB"/>
        </w:rPr>
        <w:t xml:space="preserve">he </w:t>
      </w:r>
      <w:r w:rsidR="00E555DE" w:rsidRPr="00EC24F7">
        <w:rPr>
          <w:rFonts w:cs="Arial"/>
          <w:lang w:val="en-GB"/>
        </w:rPr>
        <w:t xml:space="preserve">appropriateness of the Langa </w:t>
      </w:r>
      <w:r w:rsidR="00195666" w:rsidRPr="00EC24F7">
        <w:rPr>
          <w:rFonts w:cs="Arial"/>
          <w:lang w:val="en-GB"/>
        </w:rPr>
        <w:t>site</w:t>
      </w:r>
      <w:r w:rsidR="00BD5586">
        <w:rPr>
          <w:rFonts w:cs="Arial"/>
          <w:lang w:val="en-GB"/>
        </w:rPr>
        <w:t>; and</w:t>
      </w:r>
    </w:p>
    <w:p w14:paraId="1625F5ED" w14:textId="4C0502E8" w:rsidR="00B37B16" w:rsidRPr="00EC24F7" w:rsidRDefault="00CD3FDB" w:rsidP="00D17F93">
      <w:pPr>
        <w:numPr>
          <w:ilvl w:val="2"/>
          <w:numId w:val="2"/>
        </w:numPr>
        <w:snapToGrid w:val="0"/>
        <w:spacing w:before="120" w:after="360" w:line="480" w:lineRule="auto"/>
        <w:jc w:val="both"/>
        <w:rPr>
          <w:rFonts w:cs="Arial"/>
          <w:lang w:val="en-GB"/>
        </w:rPr>
      </w:pPr>
      <w:r w:rsidRPr="00EC24F7">
        <w:rPr>
          <w:rFonts w:cs="Arial"/>
          <w:lang w:val="en-GB"/>
        </w:rPr>
        <w:lastRenderedPageBreak/>
        <w:t xml:space="preserve">The </w:t>
      </w:r>
      <w:r w:rsidR="003C3537" w:rsidRPr="00EC24F7">
        <w:rPr>
          <w:rFonts w:cs="Arial"/>
          <w:lang w:val="en-GB"/>
        </w:rPr>
        <w:t>State’s obligations in respect of the provision</w:t>
      </w:r>
      <w:r w:rsidRPr="00EC24F7">
        <w:rPr>
          <w:rFonts w:cs="Arial"/>
          <w:lang w:val="en-GB"/>
        </w:rPr>
        <w:t xml:space="preserve"> of</w:t>
      </w:r>
      <w:r w:rsidR="00D17F93" w:rsidRPr="00EC24F7">
        <w:rPr>
          <w:rFonts w:cs="Arial"/>
          <w:lang w:val="en-GB"/>
        </w:rPr>
        <w:t xml:space="preserve"> </w:t>
      </w:r>
      <w:r w:rsidR="003C3537" w:rsidRPr="00EC24F7">
        <w:rPr>
          <w:rFonts w:cs="Arial"/>
          <w:lang w:val="en-GB"/>
        </w:rPr>
        <w:t xml:space="preserve">emergency housing to </w:t>
      </w:r>
      <w:r w:rsidR="00B37B16" w:rsidRPr="00EC24F7">
        <w:rPr>
          <w:rFonts w:cs="Arial"/>
          <w:lang w:val="en-GB"/>
        </w:rPr>
        <w:t>undocumented foreign nationals</w:t>
      </w:r>
      <w:r w:rsidR="00BF4D29" w:rsidRPr="00EC24F7">
        <w:rPr>
          <w:rFonts w:cs="Arial"/>
          <w:lang w:val="en-GB"/>
        </w:rPr>
        <w:t xml:space="preserve"> and DHA’s obligations to the Court.</w:t>
      </w:r>
    </w:p>
    <w:p w14:paraId="45B582C5" w14:textId="27004211" w:rsidR="003C3537" w:rsidRPr="00EC24F7" w:rsidRDefault="003C3537" w:rsidP="00BF4D29">
      <w:pPr>
        <w:numPr>
          <w:ilvl w:val="1"/>
          <w:numId w:val="2"/>
        </w:numPr>
        <w:snapToGrid w:val="0"/>
        <w:spacing w:before="120" w:after="360" w:line="480" w:lineRule="auto"/>
        <w:jc w:val="both"/>
        <w:rPr>
          <w:rFonts w:cs="Arial"/>
          <w:lang w:val="en-GB"/>
        </w:rPr>
      </w:pPr>
      <w:r w:rsidRPr="00EC24F7">
        <w:rPr>
          <w:rFonts w:cs="Arial"/>
          <w:lang w:val="en-GB"/>
        </w:rPr>
        <w:t xml:space="preserve">The need for </w:t>
      </w:r>
      <w:r w:rsidR="00BF4D29" w:rsidRPr="00EC24F7">
        <w:rPr>
          <w:rFonts w:cs="Arial"/>
          <w:lang w:val="en-GB"/>
        </w:rPr>
        <w:t>an</w:t>
      </w:r>
      <w:r w:rsidR="00D72207" w:rsidRPr="00EC24F7">
        <w:rPr>
          <w:rFonts w:cs="Arial"/>
          <w:lang w:val="en-GB"/>
        </w:rPr>
        <w:t xml:space="preserve"> inspection </w:t>
      </w:r>
      <w:r w:rsidR="00D72207" w:rsidRPr="00EC24F7">
        <w:rPr>
          <w:rFonts w:cs="Arial"/>
          <w:i/>
          <w:iCs/>
          <w:lang w:val="en-GB"/>
        </w:rPr>
        <w:t>in loco</w:t>
      </w:r>
      <w:r w:rsidRPr="00EC24F7">
        <w:rPr>
          <w:rFonts w:cs="Arial"/>
          <w:i/>
          <w:iCs/>
          <w:lang w:val="en-GB"/>
        </w:rPr>
        <w:t>.</w:t>
      </w:r>
    </w:p>
    <w:p w14:paraId="0EA7F705" w14:textId="4860D418" w:rsidR="00E555DE" w:rsidRPr="00EC24F7" w:rsidRDefault="003C3537" w:rsidP="00BF4D29">
      <w:pPr>
        <w:numPr>
          <w:ilvl w:val="1"/>
          <w:numId w:val="2"/>
        </w:numPr>
        <w:snapToGrid w:val="0"/>
        <w:spacing w:before="120" w:after="360" w:line="480" w:lineRule="auto"/>
        <w:jc w:val="both"/>
        <w:rPr>
          <w:rFonts w:cs="Arial"/>
          <w:lang w:val="en-GB"/>
        </w:rPr>
      </w:pPr>
      <w:r w:rsidRPr="00EC24F7">
        <w:rPr>
          <w:rFonts w:cs="Arial"/>
          <w:lang w:val="en-GB"/>
        </w:rPr>
        <w:t>T</w:t>
      </w:r>
      <w:r w:rsidR="00BF4D29" w:rsidRPr="00EC24F7">
        <w:rPr>
          <w:rFonts w:cs="Arial"/>
          <w:lang w:val="en-GB"/>
        </w:rPr>
        <w:t xml:space="preserve">he </w:t>
      </w:r>
      <w:r w:rsidR="00E555DE" w:rsidRPr="00EC24F7">
        <w:rPr>
          <w:rFonts w:cs="Arial"/>
          <w:lang w:val="en-GB"/>
        </w:rPr>
        <w:t>admission of the City’s further affidavit in terms of Rule 6(5)(e).</w:t>
      </w:r>
    </w:p>
    <w:p w14:paraId="74AF02F2" w14:textId="5862A787" w:rsidR="0075133C" w:rsidRPr="00EC24F7" w:rsidRDefault="0075133C" w:rsidP="0075133C">
      <w:pPr>
        <w:pStyle w:val="Heading1"/>
        <w:rPr>
          <w:rFonts w:cs="Arial"/>
          <w:szCs w:val="24"/>
        </w:rPr>
      </w:pPr>
      <w:bookmarkStart w:id="2" w:name="_Toc226040121"/>
      <w:r w:rsidRPr="00EC24F7">
        <w:rPr>
          <w:rFonts w:cs="Arial"/>
          <w:szCs w:val="24"/>
        </w:rPr>
        <w:t xml:space="preserve">THE UNLAWFUL OCCUPIERS’ FAILURE TO PUT UP </w:t>
      </w:r>
      <w:r w:rsidR="00785401" w:rsidRPr="00EC24F7">
        <w:rPr>
          <w:rFonts w:cs="Arial"/>
          <w:szCs w:val="24"/>
        </w:rPr>
        <w:t xml:space="preserve">ADMSSIBLE </w:t>
      </w:r>
      <w:r w:rsidRPr="00EC24F7">
        <w:rPr>
          <w:rFonts w:cs="Arial"/>
          <w:szCs w:val="24"/>
        </w:rPr>
        <w:t>EVIDENCE</w:t>
      </w:r>
      <w:bookmarkEnd w:id="2"/>
    </w:p>
    <w:p w14:paraId="41004770" w14:textId="3ACBF0C2" w:rsidR="00324FD2" w:rsidRPr="00EC24F7" w:rsidRDefault="00EC01F0" w:rsidP="00324FD2">
      <w:pPr>
        <w:numPr>
          <w:ilvl w:val="0"/>
          <w:numId w:val="2"/>
        </w:numPr>
        <w:snapToGrid w:val="0"/>
        <w:spacing w:before="120" w:after="360" w:line="480" w:lineRule="auto"/>
        <w:jc w:val="both"/>
        <w:rPr>
          <w:rFonts w:cs="Arial"/>
          <w:lang w:val="en-GB"/>
        </w:rPr>
      </w:pPr>
      <w:r w:rsidRPr="00EC24F7">
        <w:rPr>
          <w:rFonts w:cs="Arial"/>
          <w:lang w:val="en-GB"/>
        </w:rPr>
        <w:t xml:space="preserve">Despite the fact that there </w:t>
      </w:r>
      <w:r w:rsidR="00324FD2" w:rsidRPr="00EC24F7">
        <w:rPr>
          <w:rFonts w:cs="Arial"/>
          <w:lang w:val="en-GB"/>
        </w:rPr>
        <w:t xml:space="preserve">is a </w:t>
      </w:r>
      <w:r w:rsidRPr="00EC24F7">
        <w:rPr>
          <w:rFonts w:cs="Arial"/>
          <w:lang w:val="en-GB"/>
        </w:rPr>
        <w:t>distinct</w:t>
      </w:r>
      <w:r w:rsidR="00324FD2" w:rsidRPr="00EC24F7">
        <w:rPr>
          <w:rFonts w:cs="Arial"/>
          <w:lang w:val="en-GB"/>
        </w:rPr>
        <w:t xml:space="preserve"> lack of clarity </w:t>
      </w:r>
      <w:r w:rsidRPr="00EC24F7">
        <w:rPr>
          <w:rFonts w:cs="Arial"/>
          <w:lang w:val="en-GB"/>
        </w:rPr>
        <w:t>as to which unlawful occupiers</w:t>
      </w:r>
      <w:r w:rsidR="00324FD2" w:rsidRPr="00EC24F7">
        <w:rPr>
          <w:rFonts w:cs="Arial"/>
          <w:lang w:val="en-GB"/>
        </w:rPr>
        <w:t xml:space="preserve"> </w:t>
      </w:r>
      <w:r w:rsidRPr="00EC24F7">
        <w:rPr>
          <w:rFonts w:cs="Arial"/>
          <w:lang w:val="en-GB"/>
        </w:rPr>
        <w:t xml:space="preserve">are legally represented, the City </w:t>
      </w:r>
      <w:r w:rsidR="00A84AC2" w:rsidRPr="00EC24F7">
        <w:rPr>
          <w:rFonts w:cs="Arial"/>
          <w:lang w:val="en-GB"/>
        </w:rPr>
        <w:t xml:space="preserve">and Transnet both </w:t>
      </w:r>
      <w:r w:rsidRPr="00EC24F7">
        <w:rPr>
          <w:rFonts w:cs="Arial"/>
          <w:lang w:val="en-GB"/>
        </w:rPr>
        <w:t xml:space="preserve">accept that </w:t>
      </w:r>
      <w:r w:rsidR="00826778" w:rsidRPr="00EC24F7">
        <w:rPr>
          <w:rFonts w:cs="Arial"/>
          <w:lang w:val="en-GB"/>
        </w:rPr>
        <w:t>Ndifuna Ukwazi Law Centre (‘NU’) represent</w:t>
      </w:r>
      <w:r w:rsidR="00A84AC2" w:rsidRPr="00EC24F7">
        <w:rPr>
          <w:rFonts w:cs="Arial"/>
          <w:lang w:val="en-GB"/>
        </w:rPr>
        <w:t>s</w:t>
      </w:r>
      <w:r w:rsidR="00826778" w:rsidRPr="00EC24F7">
        <w:rPr>
          <w:rFonts w:cs="Arial"/>
          <w:lang w:val="en-GB"/>
        </w:rPr>
        <w:t xml:space="preserve"> 266 of the unlawful occupiers.</w:t>
      </w:r>
      <w:r w:rsidR="00F43F1E" w:rsidRPr="00EC24F7">
        <w:rPr>
          <w:rStyle w:val="FootnoteReference"/>
          <w:rFonts w:cs="Arial"/>
          <w:lang w:val="en-GB"/>
        </w:rPr>
        <w:footnoteReference w:id="9"/>
      </w:r>
    </w:p>
    <w:p w14:paraId="23B1023A" w14:textId="02CB69E1" w:rsidR="000A68B0" w:rsidRPr="00EC24F7" w:rsidRDefault="00F41917" w:rsidP="00950080">
      <w:pPr>
        <w:numPr>
          <w:ilvl w:val="0"/>
          <w:numId w:val="2"/>
        </w:numPr>
        <w:snapToGrid w:val="0"/>
        <w:spacing w:before="120" w:after="360" w:line="480" w:lineRule="auto"/>
        <w:jc w:val="both"/>
        <w:rPr>
          <w:rFonts w:cs="Arial"/>
          <w:lang w:val="en-GB"/>
        </w:rPr>
      </w:pPr>
      <w:r w:rsidRPr="00EC24F7">
        <w:rPr>
          <w:rFonts w:cs="Arial"/>
          <w:lang w:val="en-GB"/>
        </w:rPr>
        <w:t xml:space="preserve">It bears emphasis </w:t>
      </w:r>
      <w:r w:rsidR="00863146">
        <w:rPr>
          <w:rFonts w:cs="Arial"/>
          <w:lang w:val="en-GB"/>
        </w:rPr>
        <w:t xml:space="preserve">that </w:t>
      </w:r>
      <w:r w:rsidR="0020760C" w:rsidRPr="00EC24F7">
        <w:rPr>
          <w:rFonts w:cs="Arial"/>
          <w:lang w:val="en-GB"/>
        </w:rPr>
        <w:t>NU c</w:t>
      </w:r>
      <w:r w:rsidR="00F43F1E" w:rsidRPr="00EC24F7">
        <w:rPr>
          <w:rFonts w:cs="Arial"/>
          <w:lang w:val="en-GB"/>
        </w:rPr>
        <w:t>a</w:t>
      </w:r>
      <w:r w:rsidR="0020760C" w:rsidRPr="00EC24F7">
        <w:rPr>
          <w:rFonts w:cs="Arial"/>
          <w:lang w:val="en-GB"/>
        </w:rPr>
        <w:t xml:space="preserve">me on record for all the unlawful occupiers on </w:t>
      </w:r>
      <w:r w:rsidR="00817385" w:rsidRPr="00EC24F7">
        <w:rPr>
          <w:rFonts w:cs="Arial"/>
          <w:u w:val="single"/>
          <w:lang w:val="en-GB"/>
        </w:rPr>
        <w:t>1</w:t>
      </w:r>
      <w:r w:rsidR="0020760C" w:rsidRPr="00EC24F7">
        <w:rPr>
          <w:rFonts w:cs="Arial"/>
          <w:u w:val="single"/>
          <w:lang w:val="en-GB"/>
        </w:rPr>
        <w:t>8</w:t>
      </w:r>
      <w:r w:rsidR="00F43F1E" w:rsidRPr="00EC24F7">
        <w:rPr>
          <w:rFonts w:cs="Arial"/>
          <w:u w:val="single"/>
          <w:lang w:val="en-GB"/>
        </w:rPr>
        <w:t> </w:t>
      </w:r>
      <w:r w:rsidR="0020760C" w:rsidRPr="00EC24F7">
        <w:rPr>
          <w:rFonts w:cs="Arial"/>
          <w:u w:val="single"/>
          <w:lang w:val="en-GB"/>
        </w:rPr>
        <w:t>September</w:t>
      </w:r>
      <w:r w:rsidR="00F43F1E" w:rsidRPr="00EC24F7">
        <w:rPr>
          <w:rFonts w:cs="Arial"/>
          <w:u w:val="single"/>
          <w:lang w:val="en-GB"/>
        </w:rPr>
        <w:t> </w:t>
      </w:r>
      <w:r w:rsidR="0020760C" w:rsidRPr="00EC24F7">
        <w:rPr>
          <w:rFonts w:cs="Arial"/>
          <w:u w:val="single"/>
          <w:lang w:val="en-GB"/>
        </w:rPr>
        <w:t>2025</w:t>
      </w:r>
      <w:r w:rsidR="0020760C" w:rsidRPr="00EC24F7">
        <w:rPr>
          <w:rFonts w:cs="Arial"/>
          <w:lang w:val="en-GB"/>
        </w:rPr>
        <w:t>.</w:t>
      </w:r>
      <w:r w:rsidR="0020760C" w:rsidRPr="00EC24F7">
        <w:rPr>
          <w:rStyle w:val="FootnoteReference"/>
          <w:rFonts w:cs="Arial"/>
          <w:lang w:val="en-GB"/>
        </w:rPr>
        <w:footnoteReference w:id="10"/>
      </w:r>
      <w:r w:rsidR="009D16B0" w:rsidRPr="00EC24F7">
        <w:rPr>
          <w:rFonts w:cs="Arial"/>
          <w:lang w:val="en-GB"/>
        </w:rPr>
        <w:t xml:space="preserve">  However, </w:t>
      </w:r>
      <w:r w:rsidR="00767170" w:rsidRPr="00EC24F7">
        <w:rPr>
          <w:rFonts w:cs="Arial"/>
          <w:lang w:val="en-GB"/>
        </w:rPr>
        <w:t>the unlawful occupiers</w:t>
      </w:r>
      <w:r w:rsidR="00D20F4B" w:rsidRPr="00EC24F7">
        <w:rPr>
          <w:rFonts w:cs="Arial"/>
          <w:lang w:val="en-GB"/>
        </w:rPr>
        <w:t xml:space="preserve"> and NU as their legal representatives</w:t>
      </w:r>
      <w:r w:rsidR="00767170" w:rsidRPr="00EC24F7">
        <w:rPr>
          <w:rFonts w:cs="Arial"/>
          <w:lang w:val="en-GB"/>
        </w:rPr>
        <w:t xml:space="preserve"> have failed to comply with their respective obligations </w:t>
      </w:r>
      <w:r w:rsidR="00D20F4B" w:rsidRPr="00EC24F7">
        <w:rPr>
          <w:rFonts w:cs="Arial"/>
          <w:lang w:val="en-GB"/>
        </w:rPr>
        <w:t xml:space="preserve">to this Court </w:t>
      </w:r>
      <w:r w:rsidR="003A6195" w:rsidRPr="00EC24F7">
        <w:rPr>
          <w:rFonts w:cs="Arial"/>
          <w:lang w:val="en-GB"/>
        </w:rPr>
        <w:t xml:space="preserve">to place the relevant information </w:t>
      </w:r>
      <w:r w:rsidR="003A6195" w:rsidRPr="00EC24F7">
        <w:rPr>
          <w:rFonts w:cs="Arial"/>
          <w:color w:val="242121"/>
          <w:shd w:val="clear" w:color="auto" w:fill="FFFFFF"/>
        </w:rPr>
        <w:t xml:space="preserve">in their possession </w:t>
      </w:r>
      <w:r w:rsidR="003A6195" w:rsidRPr="00EC24F7">
        <w:rPr>
          <w:rFonts w:cs="Arial"/>
          <w:lang w:val="en-GB"/>
        </w:rPr>
        <w:t xml:space="preserve">relating to the personal circumstances of the unlawful occupiers before this Court </w:t>
      </w:r>
      <w:r w:rsidR="003A6195" w:rsidRPr="00EC24F7">
        <w:rPr>
          <w:rFonts w:cs="Arial"/>
          <w:color w:val="242121"/>
          <w:shd w:val="clear" w:color="auto" w:fill="FFFFFF"/>
        </w:rPr>
        <w:t>in order for the Court to properly interrogate the justice and equity of ordering an eviction.</w:t>
      </w:r>
      <w:r w:rsidR="003A6195" w:rsidRPr="00EC24F7">
        <w:rPr>
          <w:rStyle w:val="FootnoteReference"/>
          <w:rFonts w:cs="Arial"/>
          <w:color w:val="242121"/>
          <w:shd w:val="clear" w:color="auto" w:fill="FFFFFF"/>
        </w:rPr>
        <w:footnoteReference w:id="11"/>
      </w:r>
      <w:r w:rsidR="00950080" w:rsidRPr="00EC24F7">
        <w:rPr>
          <w:rFonts w:cs="Arial"/>
          <w:lang w:val="en-GB"/>
        </w:rPr>
        <w:t xml:space="preserve">  </w:t>
      </w:r>
    </w:p>
    <w:p w14:paraId="1C658EA8" w14:textId="71570C6C" w:rsidR="00E57865" w:rsidRPr="00EC24F7" w:rsidRDefault="0001165E" w:rsidP="00E57865">
      <w:pPr>
        <w:numPr>
          <w:ilvl w:val="0"/>
          <w:numId w:val="2"/>
        </w:numPr>
        <w:snapToGrid w:val="0"/>
        <w:spacing w:before="120" w:after="360" w:line="480" w:lineRule="auto"/>
        <w:jc w:val="both"/>
        <w:rPr>
          <w:rFonts w:cs="Arial"/>
          <w:lang w:val="en-GB"/>
        </w:rPr>
      </w:pPr>
      <w:r w:rsidRPr="00EC24F7">
        <w:rPr>
          <w:rFonts w:cs="Arial"/>
          <w:color w:val="242121"/>
          <w:shd w:val="clear" w:color="auto" w:fill="FFFFFF"/>
        </w:rPr>
        <w:t xml:space="preserve">It is settled </w:t>
      </w:r>
      <w:r w:rsidR="00950080" w:rsidRPr="00EC24F7">
        <w:rPr>
          <w:rFonts w:cs="Arial"/>
          <w:color w:val="242121"/>
          <w:shd w:val="clear" w:color="auto" w:fill="FFFFFF"/>
        </w:rPr>
        <w:t>law</w:t>
      </w:r>
      <w:r w:rsidRPr="00EC24F7">
        <w:rPr>
          <w:rFonts w:cs="Arial"/>
          <w:color w:val="242121"/>
          <w:shd w:val="clear" w:color="auto" w:fill="FFFFFF"/>
        </w:rPr>
        <w:t xml:space="preserve"> that one person cannot depose to an affidavit on behalf of another.</w:t>
      </w:r>
      <w:r w:rsidRPr="00EC24F7">
        <w:rPr>
          <w:rStyle w:val="FootnoteReference"/>
          <w:rFonts w:cs="Arial"/>
          <w:color w:val="242121"/>
          <w:shd w:val="clear" w:color="auto" w:fill="FFFFFF"/>
        </w:rPr>
        <w:footnoteReference w:id="12"/>
      </w:r>
      <w:r w:rsidRPr="00EC24F7">
        <w:rPr>
          <w:rFonts w:cs="Arial"/>
          <w:color w:val="242121"/>
          <w:shd w:val="clear" w:color="auto" w:fill="FFFFFF"/>
        </w:rPr>
        <w:t xml:space="preserve">  </w:t>
      </w:r>
      <w:r w:rsidR="00E57865" w:rsidRPr="00EC24F7">
        <w:rPr>
          <w:rFonts w:cs="Arial"/>
          <w:color w:val="242121"/>
          <w:shd w:val="clear" w:color="auto" w:fill="FFFFFF"/>
        </w:rPr>
        <w:t>T</w:t>
      </w:r>
      <w:r w:rsidR="00E57865" w:rsidRPr="00EC24F7">
        <w:rPr>
          <w:rFonts w:cs="Arial"/>
        </w:rPr>
        <w:t xml:space="preserve">he courts have consistently held that it is impermissible for a </w:t>
      </w:r>
      <w:r w:rsidR="00E57865" w:rsidRPr="00EC24F7">
        <w:rPr>
          <w:rFonts w:cs="Arial"/>
        </w:rPr>
        <w:lastRenderedPageBreak/>
        <w:t>deponent to an affidavit to give evidence on behalf of another where the latter does not file a confirmatory affidavit to confirm the evidence</w:t>
      </w:r>
      <w:r w:rsidRPr="00EC24F7">
        <w:rPr>
          <w:rFonts w:cs="Arial"/>
        </w:rPr>
        <w:t>.</w:t>
      </w:r>
      <w:r w:rsidR="002D071C" w:rsidRPr="00EC24F7">
        <w:rPr>
          <w:rStyle w:val="FootnoteReference"/>
          <w:rFonts w:cs="Arial"/>
          <w:color w:val="242121"/>
          <w:shd w:val="clear" w:color="auto" w:fill="FFFFFF"/>
        </w:rPr>
        <w:footnoteReference w:id="13"/>
      </w:r>
    </w:p>
    <w:p w14:paraId="7618BEEC" w14:textId="344B0C03" w:rsidR="00565241" w:rsidRPr="00EC24F7" w:rsidRDefault="0004357E" w:rsidP="00E57865">
      <w:pPr>
        <w:numPr>
          <w:ilvl w:val="0"/>
          <w:numId w:val="2"/>
        </w:numPr>
        <w:snapToGrid w:val="0"/>
        <w:spacing w:before="120" w:after="360" w:line="480" w:lineRule="auto"/>
        <w:jc w:val="both"/>
        <w:rPr>
          <w:rFonts w:cs="Arial"/>
          <w:lang w:val="en-GB"/>
        </w:rPr>
      </w:pPr>
      <w:r w:rsidRPr="00EC24F7">
        <w:rPr>
          <w:rFonts w:cs="Arial"/>
          <w:color w:val="242121"/>
          <w:shd w:val="clear" w:color="auto" w:fill="FFFFFF"/>
        </w:rPr>
        <w:t xml:space="preserve">The </w:t>
      </w:r>
      <w:r w:rsidR="00ED4009" w:rsidRPr="00EC24F7">
        <w:rPr>
          <w:rFonts w:cs="Arial"/>
          <w:color w:val="242121"/>
          <w:shd w:val="clear" w:color="auto" w:fill="FFFFFF"/>
        </w:rPr>
        <w:t xml:space="preserve">only affidavits filed </w:t>
      </w:r>
      <w:r w:rsidR="00A81906" w:rsidRPr="00EC24F7">
        <w:rPr>
          <w:rFonts w:cs="Arial"/>
          <w:color w:val="242121"/>
          <w:shd w:val="clear" w:color="auto" w:fill="FFFFFF"/>
        </w:rPr>
        <w:t xml:space="preserve">by the unlawful occupiers are those of Mr Al-Habsy, </w:t>
      </w:r>
      <w:r w:rsidR="00A81906" w:rsidRPr="00EC24F7">
        <w:rPr>
          <w:rFonts w:cs="Arial"/>
          <w:lang w:val="en-GB"/>
        </w:rPr>
        <w:t xml:space="preserve">Ms Nosipho Olifant (‘Ms Olifant’) and Ms Sandra Adams (‘Ms Adams’).  </w:t>
      </w:r>
      <w:r w:rsidR="00CB7FDF" w:rsidRPr="00EC24F7">
        <w:rPr>
          <w:rFonts w:cs="Arial"/>
          <w:lang w:val="en-GB"/>
        </w:rPr>
        <w:t xml:space="preserve">The so-styled </w:t>
      </w:r>
      <w:r w:rsidR="009428CA" w:rsidRPr="00EC24F7">
        <w:rPr>
          <w:rFonts w:cs="Arial"/>
          <w:i/>
          <w:iCs/>
          <w:lang w:val="en-GB"/>
        </w:rPr>
        <w:t>‘</w:t>
      </w:r>
      <w:r w:rsidR="00CB7FDF" w:rsidRPr="00EC24F7">
        <w:rPr>
          <w:rFonts w:cs="Arial"/>
          <w:i/>
          <w:iCs/>
          <w:lang w:val="en-GB"/>
        </w:rPr>
        <w:t xml:space="preserve">provisional </w:t>
      </w:r>
      <w:r w:rsidR="009428CA" w:rsidRPr="00EC24F7">
        <w:rPr>
          <w:rFonts w:cs="Arial"/>
          <w:i/>
          <w:iCs/>
          <w:lang w:val="en-GB"/>
        </w:rPr>
        <w:t>answering affidavit’</w:t>
      </w:r>
      <w:r w:rsidR="009428CA" w:rsidRPr="00EC24F7">
        <w:rPr>
          <w:rFonts w:cs="Arial"/>
          <w:lang w:val="en-GB"/>
        </w:rPr>
        <w:t xml:space="preserve"> deposed to o</w:t>
      </w:r>
      <w:r w:rsidR="00565241" w:rsidRPr="00EC24F7">
        <w:rPr>
          <w:rFonts w:cs="Arial"/>
          <w:lang w:val="en-GB"/>
        </w:rPr>
        <w:t xml:space="preserve">ne of their attorneys, Ms Dyanti </w:t>
      </w:r>
      <w:r w:rsidR="009428CA" w:rsidRPr="00EC24F7">
        <w:rPr>
          <w:rFonts w:cs="Arial"/>
          <w:lang w:val="en-GB"/>
        </w:rPr>
        <w:t xml:space="preserve">of NU, </w:t>
      </w:r>
      <w:r w:rsidR="001B1D96" w:rsidRPr="00EC24F7">
        <w:rPr>
          <w:rFonts w:cs="Arial"/>
          <w:lang w:val="en-GB"/>
        </w:rPr>
        <w:t xml:space="preserve">deals largely with procedural issues, summarises </w:t>
      </w:r>
      <w:r w:rsidR="00875AAE" w:rsidRPr="00EC24F7">
        <w:rPr>
          <w:rFonts w:cs="Arial"/>
          <w:lang w:val="en-GB"/>
        </w:rPr>
        <w:t xml:space="preserve">the content of an academic article </w:t>
      </w:r>
      <w:r w:rsidR="00DF6A5A" w:rsidRPr="00EC24F7">
        <w:rPr>
          <w:rFonts w:cs="Arial"/>
          <w:lang w:val="en-GB"/>
        </w:rPr>
        <w:t>annexed</w:t>
      </w:r>
      <w:r w:rsidR="00875AAE" w:rsidRPr="00EC24F7">
        <w:rPr>
          <w:rFonts w:cs="Arial"/>
          <w:lang w:val="en-GB"/>
        </w:rPr>
        <w:t xml:space="preserve"> to the affidavit and deals with issues of law but </w:t>
      </w:r>
      <w:r w:rsidR="00454D72" w:rsidRPr="00EC24F7">
        <w:rPr>
          <w:rFonts w:cs="Arial"/>
          <w:lang w:val="en-GB"/>
        </w:rPr>
        <w:t xml:space="preserve">does not deal with the personal circumstances of the </w:t>
      </w:r>
      <w:r w:rsidR="001B1D96" w:rsidRPr="00EC24F7">
        <w:rPr>
          <w:rFonts w:cs="Arial"/>
          <w:lang w:val="en-GB"/>
        </w:rPr>
        <w:t>unlawful occupiers</w:t>
      </w:r>
      <w:r w:rsidR="00875AAE" w:rsidRPr="00EC24F7">
        <w:rPr>
          <w:rFonts w:cs="Arial"/>
          <w:lang w:val="en-GB"/>
        </w:rPr>
        <w:t xml:space="preserve">.  </w:t>
      </w:r>
      <w:r w:rsidR="00DF6A5A" w:rsidRPr="00EC24F7">
        <w:rPr>
          <w:rFonts w:cs="Arial"/>
          <w:color w:val="000000"/>
          <w:lang w:val="en-GB"/>
        </w:rPr>
        <w:t xml:space="preserve">Ms Dyanti’s averments in the </w:t>
      </w:r>
      <w:r w:rsidR="00DF6A5A" w:rsidRPr="00EC24F7">
        <w:rPr>
          <w:rFonts w:cs="Arial"/>
          <w:i/>
          <w:iCs/>
          <w:lang w:val="en-GB"/>
        </w:rPr>
        <w:t>‘provisional answering affidavit’</w:t>
      </w:r>
      <w:r w:rsidR="00DF6A5A" w:rsidRPr="00EC24F7">
        <w:rPr>
          <w:rFonts w:cs="Arial"/>
          <w:lang w:val="en-GB"/>
        </w:rPr>
        <w:t xml:space="preserve"> </w:t>
      </w:r>
      <w:r w:rsidR="00DF6A5A" w:rsidRPr="00EC24F7">
        <w:rPr>
          <w:rFonts w:cs="Arial"/>
          <w:color w:val="000000"/>
          <w:lang w:val="en-GB"/>
        </w:rPr>
        <w:t>are not confirmed on oath by any of the unlawful occupiers.</w:t>
      </w:r>
    </w:p>
    <w:p w14:paraId="0B17E8AF" w14:textId="34AA3789" w:rsidR="0004357E" w:rsidRPr="00EC24F7" w:rsidRDefault="00A81906" w:rsidP="00E57865">
      <w:pPr>
        <w:numPr>
          <w:ilvl w:val="0"/>
          <w:numId w:val="2"/>
        </w:numPr>
        <w:snapToGrid w:val="0"/>
        <w:spacing w:before="120" w:after="360" w:line="480" w:lineRule="auto"/>
        <w:jc w:val="both"/>
        <w:rPr>
          <w:rFonts w:cs="Arial"/>
          <w:lang w:val="en-GB"/>
        </w:rPr>
      </w:pPr>
      <w:r w:rsidRPr="00EC24F7">
        <w:rPr>
          <w:rFonts w:cs="Arial"/>
          <w:lang w:val="en-GB"/>
        </w:rPr>
        <w:t xml:space="preserve">Mr Al-Habsy impermissibly purports to depose to </w:t>
      </w:r>
      <w:r w:rsidR="007F7EED" w:rsidRPr="00EC24F7">
        <w:rPr>
          <w:rFonts w:cs="Arial"/>
          <w:lang w:val="en-GB"/>
        </w:rPr>
        <w:t xml:space="preserve">the supplementary affidavit </w:t>
      </w:r>
      <w:r w:rsidR="007F7EED" w:rsidRPr="00EC24F7">
        <w:rPr>
          <w:rFonts w:cs="Arial"/>
          <w:i/>
          <w:iCs/>
          <w:lang w:val="en-GB"/>
        </w:rPr>
        <w:t>‘</w:t>
      </w:r>
      <w:r w:rsidRPr="00EC24F7">
        <w:rPr>
          <w:rFonts w:cs="Arial"/>
          <w:i/>
          <w:iCs/>
          <w:lang w:val="en-GB"/>
        </w:rPr>
        <w:t xml:space="preserve">on behalf </w:t>
      </w:r>
      <w:r w:rsidR="007F7EED" w:rsidRPr="00EC24F7">
        <w:rPr>
          <w:rFonts w:cs="Arial"/>
          <w:i/>
          <w:iCs/>
          <w:lang w:val="en-GB"/>
        </w:rPr>
        <w:t xml:space="preserve">of the </w:t>
      </w:r>
      <w:r w:rsidR="007F7EED" w:rsidRPr="00EC24F7">
        <w:rPr>
          <w:rFonts w:cs="Arial"/>
          <w:lang w:val="en-GB"/>
        </w:rPr>
        <w:t>[unlawful occupiers]</w:t>
      </w:r>
      <w:r w:rsidR="00C12372" w:rsidRPr="00EC24F7">
        <w:rPr>
          <w:rFonts w:cs="Arial"/>
          <w:i/>
          <w:iCs/>
          <w:lang w:val="en-GB"/>
        </w:rPr>
        <w:t xml:space="preserve"> represented by </w:t>
      </w:r>
      <w:r w:rsidR="00C12372" w:rsidRPr="00EC24F7">
        <w:rPr>
          <w:rFonts w:cs="Arial"/>
          <w:lang w:val="en-GB"/>
        </w:rPr>
        <w:t>[NU]</w:t>
      </w:r>
      <w:r w:rsidR="00C12372" w:rsidRPr="00EC24F7">
        <w:rPr>
          <w:rFonts w:cs="Arial"/>
          <w:i/>
          <w:iCs/>
          <w:lang w:val="en-GB"/>
        </w:rPr>
        <w:t>.’</w:t>
      </w:r>
      <w:r w:rsidR="00C12372" w:rsidRPr="00EC24F7">
        <w:rPr>
          <w:rStyle w:val="FootnoteReference"/>
          <w:rFonts w:cs="Arial"/>
          <w:lang w:val="en-GB"/>
        </w:rPr>
        <w:footnoteReference w:id="14"/>
      </w:r>
      <w:r w:rsidR="00DF6A5A" w:rsidRPr="00EC24F7">
        <w:rPr>
          <w:rFonts w:cs="Arial"/>
          <w:lang w:val="en-GB"/>
        </w:rPr>
        <w:t xml:space="preserve"> </w:t>
      </w:r>
      <w:r w:rsidR="00467830" w:rsidRPr="00EC24F7">
        <w:rPr>
          <w:rFonts w:cs="Arial"/>
          <w:color w:val="242121"/>
          <w:shd w:val="clear" w:color="auto" w:fill="FFFFFF"/>
        </w:rPr>
        <w:t xml:space="preserve">Mr Al-Habsy’s averments regarding the personal circumstances of the </w:t>
      </w:r>
      <w:r w:rsidR="00467830" w:rsidRPr="00EC24F7">
        <w:rPr>
          <w:rFonts w:cs="Arial"/>
          <w:lang w:val="en-GB"/>
        </w:rPr>
        <w:t xml:space="preserve">unlawful occupiers </w:t>
      </w:r>
      <w:r w:rsidR="00467830" w:rsidRPr="00EC24F7">
        <w:rPr>
          <w:rFonts w:cs="Arial"/>
          <w:color w:val="242121"/>
          <w:shd w:val="clear" w:color="auto" w:fill="FFFFFF"/>
        </w:rPr>
        <w:t>is not confirmed on oath by anyone with personal knowledge of th</w:t>
      </w:r>
      <w:r w:rsidR="00116D28">
        <w:rPr>
          <w:rFonts w:cs="Arial"/>
          <w:color w:val="242121"/>
          <w:shd w:val="clear" w:color="auto" w:fill="FFFFFF"/>
        </w:rPr>
        <w:t>ose</w:t>
      </w:r>
      <w:r w:rsidR="00467830" w:rsidRPr="00EC24F7">
        <w:rPr>
          <w:rFonts w:cs="Arial"/>
          <w:color w:val="242121"/>
          <w:shd w:val="clear" w:color="auto" w:fill="FFFFFF"/>
        </w:rPr>
        <w:t xml:space="preserve"> facts.  </w:t>
      </w:r>
      <w:r w:rsidR="003906DA" w:rsidRPr="00EC24F7">
        <w:rPr>
          <w:rFonts w:cs="Arial"/>
          <w:color w:val="242121"/>
          <w:shd w:val="clear" w:color="auto" w:fill="FFFFFF"/>
        </w:rPr>
        <w:t xml:space="preserve">Quite aside from the fact that Mr Al-Habsy is not entitled to depose to an affidavit on behalf of anyone other than himself and cannot depose to facts which are not within his personal knowledge, he in any event only purports to </w:t>
      </w:r>
      <w:r w:rsidR="003906DA" w:rsidRPr="00EC24F7">
        <w:rPr>
          <w:rFonts w:cs="Arial"/>
          <w:lang w:val="en-GB"/>
        </w:rPr>
        <w:t>provide the personal circumstances of 97 of the unlawful occupiers in the table attached to his affidavit.</w:t>
      </w:r>
      <w:r w:rsidR="003906DA" w:rsidRPr="00EC24F7">
        <w:rPr>
          <w:rStyle w:val="FootnoteReference"/>
          <w:rFonts w:cs="Arial"/>
          <w:lang w:val="en-GB"/>
        </w:rPr>
        <w:footnoteReference w:id="15"/>
      </w:r>
    </w:p>
    <w:p w14:paraId="186B24EB" w14:textId="4B811862" w:rsidR="003906DA" w:rsidRPr="00EC24F7" w:rsidRDefault="009B07E0" w:rsidP="00DE3F2D">
      <w:pPr>
        <w:numPr>
          <w:ilvl w:val="0"/>
          <w:numId w:val="2"/>
        </w:numPr>
        <w:snapToGrid w:val="0"/>
        <w:spacing w:before="120" w:after="360" w:line="480" w:lineRule="auto"/>
        <w:jc w:val="both"/>
        <w:rPr>
          <w:rFonts w:cs="Arial"/>
          <w:lang w:val="en-GB"/>
        </w:rPr>
      </w:pPr>
      <w:r w:rsidRPr="00EC24F7">
        <w:rPr>
          <w:rFonts w:cs="Arial"/>
          <w:lang w:val="en-GB"/>
        </w:rPr>
        <w:lastRenderedPageBreak/>
        <w:t>Ms Olifant</w:t>
      </w:r>
      <w:r w:rsidR="00745E9A" w:rsidRPr="00EC24F7">
        <w:rPr>
          <w:rFonts w:cs="Arial"/>
          <w:lang w:val="en-GB"/>
        </w:rPr>
        <w:t xml:space="preserve"> and </w:t>
      </w:r>
      <w:r w:rsidRPr="00EC24F7">
        <w:rPr>
          <w:rFonts w:cs="Arial"/>
          <w:lang w:val="en-GB"/>
        </w:rPr>
        <w:t xml:space="preserve">Ms Adams </w:t>
      </w:r>
      <w:r w:rsidRPr="00EC24F7">
        <w:rPr>
          <w:rFonts w:cs="Arial"/>
          <w:color w:val="000000"/>
          <w:lang w:val="en-GB"/>
        </w:rPr>
        <w:t xml:space="preserve">have delivered affidavits styled as </w:t>
      </w:r>
      <w:r w:rsidRPr="00EC24F7">
        <w:rPr>
          <w:rFonts w:cs="Arial"/>
          <w:i/>
          <w:iCs/>
          <w:color w:val="000000"/>
          <w:lang w:val="en-GB"/>
        </w:rPr>
        <w:t>‘confirmatory affidavits’</w:t>
      </w:r>
      <w:r w:rsidR="003906DA" w:rsidRPr="00EC24F7">
        <w:rPr>
          <w:rStyle w:val="FootnoteReference"/>
          <w:rFonts w:cs="Arial"/>
          <w:lang w:val="en-GB"/>
        </w:rPr>
        <w:footnoteReference w:id="16"/>
      </w:r>
      <w:r w:rsidR="003906DA" w:rsidRPr="00EC24F7">
        <w:rPr>
          <w:rFonts w:cs="Arial"/>
          <w:lang w:val="en-GB"/>
        </w:rPr>
        <w:t xml:space="preserve"> </w:t>
      </w:r>
      <w:r w:rsidRPr="00EC24F7">
        <w:rPr>
          <w:rFonts w:cs="Arial"/>
          <w:color w:val="000000"/>
          <w:lang w:val="en-GB"/>
        </w:rPr>
        <w:t>but no averments relating to either of them are made in Mr Al-Habsy’s affidavit and in fact he does not even refer to them in his affidavit.</w:t>
      </w:r>
      <w:r w:rsidR="007F7B7F" w:rsidRPr="00EC24F7">
        <w:rPr>
          <w:rFonts w:cs="Arial"/>
          <w:lang w:val="en-GB"/>
        </w:rPr>
        <w:t xml:space="preserve">  </w:t>
      </w:r>
      <w:r w:rsidR="003F43CD" w:rsidRPr="00EC24F7">
        <w:rPr>
          <w:rFonts w:cs="Arial"/>
          <w:lang w:val="en-GB"/>
        </w:rPr>
        <w:t xml:space="preserve">Ms Olifant and Ms Adams </w:t>
      </w:r>
      <w:r w:rsidR="00A53868" w:rsidRPr="00EC24F7">
        <w:rPr>
          <w:rFonts w:cs="Arial"/>
          <w:lang w:val="en-GB"/>
        </w:rPr>
        <w:t>also</w:t>
      </w:r>
      <w:r w:rsidR="003F43CD" w:rsidRPr="00EC24F7">
        <w:rPr>
          <w:rFonts w:cs="Arial"/>
          <w:lang w:val="en-GB"/>
        </w:rPr>
        <w:t xml:space="preserve"> impermissibly seek to </w:t>
      </w:r>
      <w:r w:rsidR="001D48D6" w:rsidRPr="00EC24F7">
        <w:rPr>
          <w:rFonts w:cs="Arial"/>
          <w:i/>
          <w:iCs/>
          <w:lang w:val="en-GB"/>
        </w:rPr>
        <w:t>‘</w:t>
      </w:r>
      <w:r w:rsidR="003F43CD" w:rsidRPr="00EC24F7">
        <w:rPr>
          <w:rFonts w:cs="Arial"/>
          <w:i/>
          <w:iCs/>
          <w:lang w:val="en-GB"/>
        </w:rPr>
        <w:t xml:space="preserve">confirm the </w:t>
      </w:r>
      <w:r w:rsidR="001D48D6" w:rsidRPr="00EC24F7">
        <w:rPr>
          <w:rFonts w:cs="Arial"/>
          <w:i/>
          <w:iCs/>
          <w:lang w:val="en-GB"/>
        </w:rPr>
        <w:t xml:space="preserve">correctness of </w:t>
      </w:r>
      <w:r w:rsidR="003F43CD" w:rsidRPr="00EC24F7">
        <w:rPr>
          <w:rFonts w:cs="Arial"/>
          <w:i/>
          <w:iCs/>
          <w:lang w:val="en-GB"/>
        </w:rPr>
        <w:t>personal circumstances</w:t>
      </w:r>
      <w:r w:rsidR="001D48D6" w:rsidRPr="00EC24F7">
        <w:rPr>
          <w:rFonts w:cs="Arial"/>
          <w:i/>
          <w:iCs/>
          <w:lang w:val="en-GB"/>
        </w:rPr>
        <w:t>’</w:t>
      </w:r>
      <w:r w:rsidR="003F43CD" w:rsidRPr="00EC24F7">
        <w:rPr>
          <w:rFonts w:cs="Arial"/>
          <w:lang w:val="en-GB"/>
        </w:rPr>
        <w:t xml:space="preserve"> of </w:t>
      </w:r>
      <w:r w:rsidR="001D48D6" w:rsidRPr="00EC24F7">
        <w:rPr>
          <w:rFonts w:cs="Arial"/>
          <w:lang w:val="en-GB"/>
        </w:rPr>
        <w:t>the unlawful occupiers contained in Annexure ‘AL2’ to Mr Al-Habsy’s affidavit,</w:t>
      </w:r>
      <w:r w:rsidR="00DE3F2D" w:rsidRPr="00EC24F7">
        <w:rPr>
          <w:rStyle w:val="FootnoteReference"/>
          <w:rFonts w:cs="Arial"/>
          <w:lang w:val="en-GB"/>
        </w:rPr>
        <w:t xml:space="preserve"> </w:t>
      </w:r>
      <w:r w:rsidR="001D48D6" w:rsidRPr="00EC24F7">
        <w:rPr>
          <w:rFonts w:cs="Arial"/>
          <w:lang w:val="en-GB"/>
        </w:rPr>
        <w:t>however, there is no basis for their bald assertions that these facts are within their personal knowledge, and in the absence of any affidavits from the persons on whose behalf they seek to depose to affidavits</w:t>
      </w:r>
      <w:r w:rsidR="003618D6">
        <w:rPr>
          <w:rFonts w:cs="Arial"/>
          <w:lang w:val="en-GB"/>
        </w:rPr>
        <w:t>,</w:t>
      </w:r>
      <w:r w:rsidR="005246B6" w:rsidRPr="00EC24F7">
        <w:rPr>
          <w:rFonts w:cs="Arial"/>
          <w:lang w:val="en-GB"/>
        </w:rPr>
        <w:t xml:space="preserve"> their evidence is inadmissible</w:t>
      </w:r>
      <w:r w:rsidR="001D48D6" w:rsidRPr="00EC24F7">
        <w:rPr>
          <w:rFonts w:cs="Arial"/>
          <w:lang w:val="en-GB"/>
        </w:rPr>
        <w:t>.</w:t>
      </w:r>
      <w:r w:rsidR="003906DA" w:rsidRPr="00EC24F7">
        <w:rPr>
          <w:rFonts w:cs="Arial"/>
          <w:lang w:val="en-GB"/>
        </w:rPr>
        <w:t xml:space="preserve"> </w:t>
      </w:r>
      <w:r w:rsidR="00940B42" w:rsidRPr="00EC24F7">
        <w:rPr>
          <w:rFonts w:cs="Arial"/>
          <w:lang w:val="en-GB"/>
        </w:rPr>
        <w:t xml:space="preserve"> It is curious that neither Ms Adams nor Ms Olifant have placed any of their own </w:t>
      </w:r>
      <w:r w:rsidR="003618D6">
        <w:rPr>
          <w:rFonts w:cs="Arial"/>
          <w:lang w:val="en-GB"/>
        </w:rPr>
        <w:t xml:space="preserve">personal </w:t>
      </w:r>
      <w:r w:rsidR="00940B42" w:rsidRPr="00EC24F7">
        <w:rPr>
          <w:rFonts w:cs="Arial"/>
          <w:lang w:val="en-GB"/>
        </w:rPr>
        <w:t>circumstances before this Court despite deposing to affidavits.</w:t>
      </w:r>
      <w:r w:rsidR="00940B42" w:rsidRPr="00EC24F7">
        <w:rPr>
          <w:rStyle w:val="FootnoteReference"/>
          <w:rFonts w:cs="Arial"/>
          <w:lang w:val="en-GB"/>
        </w:rPr>
        <w:footnoteReference w:id="17"/>
      </w:r>
    </w:p>
    <w:p w14:paraId="6B112B82" w14:textId="32913A53" w:rsidR="00416356" w:rsidRPr="00EC24F7" w:rsidRDefault="00416356" w:rsidP="00416356">
      <w:pPr>
        <w:numPr>
          <w:ilvl w:val="0"/>
          <w:numId w:val="2"/>
        </w:numPr>
        <w:snapToGrid w:val="0"/>
        <w:spacing w:before="120" w:after="360" w:line="480" w:lineRule="auto"/>
        <w:jc w:val="both"/>
        <w:rPr>
          <w:rFonts w:cs="Arial"/>
          <w:lang w:val="en-GB"/>
        </w:rPr>
      </w:pPr>
      <w:r w:rsidRPr="00EC24F7">
        <w:rPr>
          <w:rFonts w:cs="Arial"/>
          <w:color w:val="242121"/>
          <w:shd w:val="clear" w:color="auto" w:fill="FFFFFF"/>
        </w:rPr>
        <w:t xml:space="preserve">Mr Al-Habsy’s averments regarding the personal circumstances of the </w:t>
      </w:r>
      <w:r w:rsidRPr="00EC24F7">
        <w:rPr>
          <w:rFonts w:cs="Arial"/>
          <w:lang w:val="en-GB"/>
        </w:rPr>
        <w:t xml:space="preserve">unlawful occupiers </w:t>
      </w:r>
      <w:r w:rsidR="00DE3F2D" w:rsidRPr="00EC24F7">
        <w:rPr>
          <w:rFonts w:cs="Arial"/>
          <w:lang w:val="en-GB"/>
        </w:rPr>
        <w:t>constitute</w:t>
      </w:r>
      <w:r w:rsidR="003618D6">
        <w:rPr>
          <w:rFonts w:cs="Arial"/>
          <w:lang w:val="en-GB"/>
        </w:rPr>
        <w:t>s</w:t>
      </w:r>
      <w:r w:rsidR="00DE3F2D" w:rsidRPr="00EC24F7">
        <w:rPr>
          <w:rFonts w:cs="Arial"/>
          <w:lang w:val="en-GB"/>
        </w:rPr>
        <w:t xml:space="preserve"> inadmissible hearsay evidence</w:t>
      </w:r>
      <w:r w:rsidR="00AC03D6" w:rsidRPr="00EC24F7">
        <w:rPr>
          <w:rFonts w:cs="Arial"/>
          <w:color w:val="242121"/>
          <w:shd w:val="clear" w:color="auto" w:fill="FFFFFF"/>
        </w:rPr>
        <w:t xml:space="preserve"> to which </w:t>
      </w:r>
      <w:r w:rsidR="00FE41CF" w:rsidRPr="00EC24F7">
        <w:rPr>
          <w:rFonts w:cs="Arial"/>
          <w:color w:val="242121"/>
          <w:shd w:val="clear" w:color="auto" w:fill="FFFFFF"/>
        </w:rPr>
        <w:t>no regard may be had, irrespective of any objection by the City or any other party.</w:t>
      </w:r>
      <w:r w:rsidR="00FE41CF" w:rsidRPr="00EC24F7">
        <w:rPr>
          <w:rStyle w:val="FootnoteReference"/>
          <w:rFonts w:cs="Arial"/>
          <w:color w:val="242121"/>
          <w:shd w:val="clear" w:color="auto" w:fill="FFFFFF"/>
        </w:rPr>
        <w:footnoteReference w:id="18"/>
      </w:r>
      <w:r w:rsidRPr="00EC24F7">
        <w:rPr>
          <w:rFonts w:cs="Arial"/>
          <w:color w:val="242121"/>
          <w:shd w:val="clear" w:color="auto" w:fill="FFFFFF"/>
        </w:rPr>
        <w:t xml:space="preserve">  </w:t>
      </w:r>
      <w:r w:rsidRPr="00EC24F7">
        <w:rPr>
          <w:rFonts w:cs="Arial"/>
          <w:lang w:val="en-GB"/>
        </w:rPr>
        <w:t xml:space="preserve">The so-styled </w:t>
      </w:r>
      <w:r w:rsidRPr="00EC24F7">
        <w:rPr>
          <w:rFonts w:cs="Arial"/>
          <w:i/>
          <w:iCs/>
          <w:lang w:val="en-GB"/>
        </w:rPr>
        <w:t>‘confirmatory affidavits’</w:t>
      </w:r>
      <w:r w:rsidRPr="00EC24F7">
        <w:rPr>
          <w:rFonts w:cs="Arial"/>
          <w:lang w:val="en-GB"/>
        </w:rPr>
        <w:t xml:space="preserve"> of Ms Olifant and Ms Adams do not cure th</w:t>
      </w:r>
      <w:r w:rsidR="00B73B99" w:rsidRPr="00EC24F7">
        <w:rPr>
          <w:rFonts w:cs="Arial"/>
          <w:lang w:val="en-GB"/>
        </w:rPr>
        <w:t>e</w:t>
      </w:r>
      <w:r w:rsidRPr="00EC24F7">
        <w:rPr>
          <w:rFonts w:cs="Arial"/>
          <w:lang w:val="en-GB"/>
        </w:rPr>
        <w:t xml:space="preserve"> fatal defect </w:t>
      </w:r>
      <w:r w:rsidR="00B73B99" w:rsidRPr="00EC24F7">
        <w:rPr>
          <w:rFonts w:cs="Arial"/>
          <w:lang w:val="en-GB"/>
        </w:rPr>
        <w:t xml:space="preserve">that </w:t>
      </w:r>
      <w:r w:rsidR="00B73B99" w:rsidRPr="00EC24F7">
        <w:rPr>
          <w:rFonts w:cs="Arial"/>
          <w:color w:val="242121"/>
          <w:shd w:val="clear" w:color="auto" w:fill="FFFFFF"/>
        </w:rPr>
        <w:t>Mr Al-Habsy’s averments</w:t>
      </w:r>
      <w:r w:rsidR="00B73B99" w:rsidRPr="00EC24F7">
        <w:rPr>
          <w:rFonts w:cs="Arial"/>
          <w:lang w:val="en-GB"/>
        </w:rPr>
        <w:t xml:space="preserve"> are not confirmed on oath by anyone with knowledge of the facts </w:t>
      </w:r>
      <w:r w:rsidRPr="00EC24F7">
        <w:rPr>
          <w:rFonts w:cs="Arial"/>
          <w:lang w:val="en-GB"/>
        </w:rPr>
        <w:t xml:space="preserve">because there are no affidavits from any of the persons whose personal circumstances are supposedly set out in Annexure ‘AL2’ to Mr Al-Habsy’s affidavit.  </w:t>
      </w:r>
    </w:p>
    <w:p w14:paraId="19BB270C" w14:textId="0ECD5CB5" w:rsidR="009E751A" w:rsidRPr="00EC24F7" w:rsidRDefault="009E751A" w:rsidP="007F7B7F">
      <w:pPr>
        <w:numPr>
          <w:ilvl w:val="0"/>
          <w:numId w:val="2"/>
        </w:numPr>
        <w:snapToGrid w:val="0"/>
        <w:spacing w:before="120" w:after="360" w:line="480" w:lineRule="auto"/>
        <w:jc w:val="both"/>
        <w:rPr>
          <w:rFonts w:cs="Arial"/>
          <w:lang w:val="en-GB"/>
        </w:rPr>
      </w:pPr>
      <w:r w:rsidRPr="00EC24F7">
        <w:rPr>
          <w:rFonts w:cs="Arial"/>
          <w:lang w:val="en-GB"/>
        </w:rPr>
        <w:t xml:space="preserve">There is thus no admissible evidence before this Court regarding the personal circumstances of </w:t>
      </w:r>
      <w:r w:rsidR="005708FB" w:rsidRPr="00EC24F7">
        <w:rPr>
          <w:rFonts w:cs="Arial"/>
          <w:lang w:val="en-GB"/>
        </w:rPr>
        <w:t xml:space="preserve">any </w:t>
      </w:r>
      <w:r w:rsidRPr="00EC24F7">
        <w:rPr>
          <w:rFonts w:cs="Arial"/>
          <w:lang w:val="en-GB"/>
        </w:rPr>
        <w:t xml:space="preserve">the unlawful occupiers, aside from </w:t>
      </w:r>
      <w:r w:rsidR="005708FB" w:rsidRPr="00EC24F7">
        <w:rPr>
          <w:rFonts w:cs="Arial"/>
          <w:lang w:val="en-GB"/>
        </w:rPr>
        <w:t>Mr Al-Habsy’s averments in relation to his personal circumstances</w:t>
      </w:r>
      <w:r w:rsidR="0015610A" w:rsidRPr="00EC24F7">
        <w:rPr>
          <w:rFonts w:cs="Arial"/>
          <w:lang w:val="en-GB"/>
        </w:rPr>
        <w:t xml:space="preserve">.  </w:t>
      </w:r>
    </w:p>
    <w:p w14:paraId="60FC17F9" w14:textId="72D1A836" w:rsidR="003C72CA" w:rsidRPr="00EC24F7" w:rsidRDefault="0015610A" w:rsidP="005B1D8E">
      <w:pPr>
        <w:numPr>
          <w:ilvl w:val="0"/>
          <w:numId w:val="2"/>
        </w:numPr>
        <w:snapToGrid w:val="0"/>
        <w:spacing w:before="120" w:after="360" w:line="480" w:lineRule="auto"/>
        <w:jc w:val="both"/>
        <w:rPr>
          <w:rFonts w:cs="Arial"/>
          <w:lang w:val="en-GB"/>
        </w:rPr>
      </w:pPr>
      <w:r w:rsidRPr="00EC24F7">
        <w:rPr>
          <w:rFonts w:cs="Arial"/>
          <w:lang w:val="en-GB"/>
        </w:rPr>
        <w:lastRenderedPageBreak/>
        <w:t>It also will not assist the unlawful occupiers to seek</w:t>
      </w:r>
      <w:r w:rsidR="00F857AB" w:rsidRPr="00EC24F7">
        <w:rPr>
          <w:rFonts w:cs="Arial"/>
          <w:lang w:val="en-GB"/>
        </w:rPr>
        <w:t>,</w:t>
      </w:r>
      <w:r w:rsidRPr="00EC24F7">
        <w:rPr>
          <w:rFonts w:cs="Arial"/>
          <w:lang w:val="en-GB"/>
        </w:rPr>
        <w:t xml:space="preserve"> at this late stage</w:t>
      </w:r>
      <w:r w:rsidR="00F857AB" w:rsidRPr="00EC24F7">
        <w:rPr>
          <w:rFonts w:cs="Arial"/>
          <w:lang w:val="en-GB"/>
        </w:rPr>
        <w:t xml:space="preserve"> of the proceedings,</w:t>
      </w:r>
      <w:r w:rsidRPr="00EC24F7">
        <w:rPr>
          <w:rFonts w:cs="Arial"/>
          <w:lang w:val="en-GB"/>
        </w:rPr>
        <w:t xml:space="preserve"> to try and rely on the provisions of the Law of Evidence Amendment Act </w:t>
      </w:r>
      <w:r w:rsidR="00A74D7F" w:rsidRPr="00EC24F7">
        <w:rPr>
          <w:rFonts w:cs="Arial"/>
          <w:lang w:val="en-GB"/>
        </w:rPr>
        <w:t>45 of 1988</w:t>
      </w:r>
      <w:r w:rsidR="005C5929" w:rsidRPr="00EC24F7">
        <w:rPr>
          <w:rFonts w:cs="Arial"/>
          <w:lang w:val="en-GB"/>
        </w:rPr>
        <w:t xml:space="preserve"> (‘the LE</w:t>
      </w:r>
      <w:r w:rsidR="001960E9" w:rsidRPr="00EC24F7">
        <w:rPr>
          <w:rFonts w:cs="Arial"/>
          <w:lang w:val="en-GB"/>
        </w:rPr>
        <w:t>AA</w:t>
      </w:r>
      <w:r w:rsidR="005C5929" w:rsidRPr="00EC24F7">
        <w:rPr>
          <w:rFonts w:cs="Arial"/>
          <w:lang w:val="en-GB"/>
        </w:rPr>
        <w:t>’)</w:t>
      </w:r>
      <w:r w:rsidR="004F3BBD" w:rsidRPr="00EC24F7">
        <w:rPr>
          <w:rFonts w:cs="Arial"/>
          <w:lang w:val="en-GB"/>
        </w:rPr>
        <w:t>, in particular s 3 thereof</w:t>
      </w:r>
      <w:r w:rsidR="00A74D7F" w:rsidRPr="00EC24F7">
        <w:rPr>
          <w:rFonts w:cs="Arial"/>
          <w:lang w:val="en-GB"/>
        </w:rPr>
        <w:t>.</w:t>
      </w:r>
      <w:r w:rsidR="004F3BBD" w:rsidRPr="00EC24F7">
        <w:rPr>
          <w:rFonts w:cs="Arial"/>
          <w:lang w:val="en-GB"/>
        </w:rPr>
        <w:t xml:space="preserve">  </w:t>
      </w:r>
      <w:r w:rsidR="005C5929" w:rsidRPr="00EC24F7">
        <w:rPr>
          <w:rFonts w:cs="Arial"/>
        </w:rPr>
        <w:t xml:space="preserve">The unlawful occupiers have </w:t>
      </w:r>
      <w:r w:rsidR="00C6132F" w:rsidRPr="00EC24F7">
        <w:rPr>
          <w:rFonts w:cs="Arial"/>
        </w:rPr>
        <w:t>failed to plead</w:t>
      </w:r>
      <w:r w:rsidR="001960E9" w:rsidRPr="00EC24F7">
        <w:rPr>
          <w:rFonts w:cs="Arial"/>
        </w:rPr>
        <w:t xml:space="preserve"> </w:t>
      </w:r>
      <w:r w:rsidR="00C6132F" w:rsidRPr="00EC24F7">
        <w:rPr>
          <w:rFonts w:cs="Arial"/>
        </w:rPr>
        <w:t>any</w:t>
      </w:r>
      <w:r w:rsidR="005C5929" w:rsidRPr="00EC24F7">
        <w:rPr>
          <w:rFonts w:cs="Arial"/>
        </w:rPr>
        <w:t xml:space="preserve"> reliance on the provisions of the </w:t>
      </w:r>
      <w:r w:rsidR="001960E9" w:rsidRPr="00EC24F7">
        <w:rPr>
          <w:rFonts w:cs="Arial"/>
        </w:rPr>
        <w:t xml:space="preserve">LEAA </w:t>
      </w:r>
      <w:r w:rsidR="00F76939" w:rsidRPr="00EC24F7">
        <w:rPr>
          <w:rFonts w:cs="Arial"/>
        </w:rPr>
        <w:t xml:space="preserve">as is clear from what is stated by Mr Al-Habsy in paragraph 4 of his affidavit where he states </w:t>
      </w:r>
      <w:r w:rsidR="00F76939" w:rsidRPr="00EC24F7">
        <w:rPr>
          <w:rFonts w:cs="Arial"/>
          <w:i/>
          <w:iCs/>
        </w:rPr>
        <w:t>‘[w</w:t>
      </w:r>
      <w:r w:rsidR="006705B9" w:rsidRPr="00EC24F7">
        <w:rPr>
          <w:rFonts w:cs="Arial"/>
          <w:i/>
          <w:iCs/>
        </w:rPr>
        <w:t>]here I rely on information that is not within my personal knowledge, I state the sources of such information and verily believe such information to be true and correct.’</w:t>
      </w:r>
      <w:r w:rsidR="006705B9" w:rsidRPr="00EC24F7">
        <w:rPr>
          <w:rStyle w:val="FootnoteReference"/>
          <w:rFonts w:cs="Arial"/>
          <w:i/>
          <w:iCs/>
        </w:rPr>
        <w:footnoteReference w:id="19"/>
      </w:r>
      <w:r w:rsidR="00C6132F" w:rsidRPr="00EC24F7">
        <w:rPr>
          <w:rFonts w:cs="Arial"/>
          <w:i/>
          <w:iCs/>
        </w:rPr>
        <w:t xml:space="preserve"> </w:t>
      </w:r>
      <w:r w:rsidR="00A461F5" w:rsidRPr="00EC24F7">
        <w:rPr>
          <w:rFonts w:cs="Arial"/>
        </w:rPr>
        <w:t xml:space="preserve"> Moreover</w:t>
      </w:r>
      <w:r w:rsidR="00077CDF" w:rsidRPr="00EC24F7">
        <w:rPr>
          <w:rFonts w:cs="Arial"/>
        </w:rPr>
        <w:t>,</w:t>
      </w:r>
      <w:r w:rsidR="00A461F5" w:rsidRPr="00EC24F7">
        <w:rPr>
          <w:rFonts w:cs="Arial"/>
        </w:rPr>
        <w:t xml:space="preserve"> no attempt is made in Mr Al-Habsy’s affidavit to meet the requirements for the admission of hearsay evidence as required by s 3(1)(c) of the LEAA.  </w:t>
      </w:r>
      <w:r w:rsidR="005C5929" w:rsidRPr="00EC24F7">
        <w:rPr>
          <w:rFonts w:cs="Arial"/>
        </w:rPr>
        <w:t>Section</w:t>
      </w:r>
      <w:r w:rsidR="00837611">
        <w:rPr>
          <w:rFonts w:cs="Arial"/>
        </w:rPr>
        <w:t> </w:t>
      </w:r>
      <w:r w:rsidR="005C5929" w:rsidRPr="00EC24F7">
        <w:rPr>
          <w:rFonts w:cs="Arial"/>
        </w:rPr>
        <w:t xml:space="preserve">3(1)(c) of the LEAA is not a licence for the wholesale admission of hearsay evidence </w:t>
      </w:r>
      <w:r w:rsidR="00600163" w:rsidRPr="00EC24F7">
        <w:rPr>
          <w:rFonts w:cs="Arial"/>
        </w:rPr>
        <w:t xml:space="preserve">and it is not open to a party to fail to plead any reliance on hearsay </w:t>
      </w:r>
      <w:r w:rsidR="00D8452B" w:rsidRPr="00EC24F7">
        <w:rPr>
          <w:rFonts w:cs="Arial"/>
        </w:rPr>
        <w:t xml:space="preserve">evidence and to then seek in argument for the first time to make out a case for the admission of such evidence </w:t>
      </w:r>
      <w:r w:rsidR="00D6537B" w:rsidRPr="00EC24F7">
        <w:rPr>
          <w:rFonts w:cs="Arial"/>
        </w:rPr>
        <w:t>where no case is made out in the affidavits</w:t>
      </w:r>
      <w:r w:rsidR="00837611">
        <w:rPr>
          <w:rFonts w:cs="Arial"/>
        </w:rPr>
        <w:t>,</w:t>
      </w:r>
      <w:r w:rsidR="00D6537B" w:rsidRPr="00EC24F7">
        <w:rPr>
          <w:rFonts w:cs="Arial"/>
        </w:rPr>
        <w:t xml:space="preserve"> which in motion proceedings constitute both the pleadings and the evidence</w:t>
      </w:r>
      <w:r w:rsidR="005C5929" w:rsidRPr="00EC24F7">
        <w:rPr>
          <w:rFonts w:cs="Arial"/>
        </w:rPr>
        <w:t>.</w:t>
      </w:r>
      <w:r w:rsidR="00EA79AD" w:rsidRPr="00EC24F7">
        <w:rPr>
          <w:rStyle w:val="FootnoteReference"/>
          <w:rFonts w:cs="Arial"/>
        </w:rPr>
        <w:footnoteReference w:id="20"/>
      </w:r>
    </w:p>
    <w:p w14:paraId="24D69510" w14:textId="6FAE64EB" w:rsidR="009E751A" w:rsidRPr="00EC24F7" w:rsidRDefault="009E751A" w:rsidP="00502C05">
      <w:pPr>
        <w:numPr>
          <w:ilvl w:val="0"/>
          <w:numId w:val="2"/>
        </w:numPr>
        <w:snapToGrid w:val="0"/>
        <w:spacing w:before="120" w:after="360" w:line="480" w:lineRule="auto"/>
        <w:jc w:val="both"/>
        <w:rPr>
          <w:rFonts w:cs="Arial"/>
          <w:lang w:val="en-GB"/>
        </w:rPr>
      </w:pPr>
      <w:r w:rsidRPr="00EC24F7">
        <w:rPr>
          <w:rFonts w:cs="Arial"/>
          <w:lang w:val="en-GB"/>
        </w:rPr>
        <w:t xml:space="preserve">The Constitutional Court </w:t>
      </w:r>
      <w:r w:rsidR="00502C05" w:rsidRPr="00EC24F7">
        <w:rPr>
          <w:rFonts w:cs="Arial"/>
          <w:lang w:val="en-GB"/>
        </w:rPr>
        <w:t xml:space="preserve">in </w:t>
      </w:r>
      <w:r w:rsidR="005D56FD" w:rsidRPr="00EC24F7">
        <w:rPr>
          <w:rFonts w:cs="Arial"/>
          <w:i/>
          <w:iCs/>
        </w:rPr>
        <w:t>Occupiers of Erven 87 and 88 Berea</w:t>
      </w:r>
      <w:r w:rsidR="005D56FD" w:rsidRPr="00EC24F7">
        <w:rPr>
          <w:rStyle w:val="FootnoteReference"/>
          <w:rFonts w:cs="Arial"/>
        </w:rPr>
        <w:footnoteReference w:id="21"/>
      </w:r>
      <w:r w:rsidR="005D56FD" w:rsidRPr="00EC24F7">
        <w:rPr>
          <w:rFonts w:cs="Arial"/>
          <w:i/>
          <w:iCs/>
        </w:rPr>
        <w:t xml:space="preserve"> </w:t>
      </w:r>
      <w:r w:rsidR="00933A0F" w:rsidRPr="00EC24F7">
        <w:rPr>
          <w:rFonts w:cs="Arial"/>
          <w:lang w:val="en-GB"/>
        </w:rPr>
        <w:t>held</w:t>
      </w:r>
      <w:r w:rsidRPr="00EC24F7">
        <w:rPr>
          <w:rFonts w:cs="Arial"/>
          <w:lang w:val="en-GB"/>
        </w:rPr>
        <w:t xml:space="preserve"> </w:t>
      </w:r>
      <w:r w:rsidR="00502C05" w:rsidRPr="00EC24F7">
        <w:rPr>
          <w:rFonts w:cs="Arial"/>
          <w:lang w:val="en-GB"/>
        </w:rPr>
        <w:t xml:space="preserve">that </w:t>
      </w:r>
      <w:r w:rsidRPr="00EC24F7">
        <w:rPr>
          <w:rFonts w:cs="Arial"/>
          <w:lang w:val="en-GB"/>
        </w:rPr>
        <w:t xml:space="preserve">it was </w:t>
      </w:r>
      <w:r w:rsidR="00E76B59">
        <w:rPr>
          <w:rFonts w:cs="Arial"/>
          <w:lang w:val="en-GB"/>
        </w:rPr>
        <w:t>in</w:t>
      </w:r>
      <w:r w:rsidRPr="00EC24F7">
        <w:rPr>
          <w:rFonts w:cs="Arial"/>
          <w:lang w:val="en-GB"/>
        </w:rPr>
        <w:t>appropriate for the High Court</w:t>
      </w:r>
      <w:r w:rsidR="00933A0F" w:rsidRPr="00EC24F7">
        <w:rPr>
          <w:rFonts w:cs="Arial"/>
          <w:lang w:val="en-GB"/>
        </w:rPr>
        <w:t xml:space="preserve"> in</w:t>
      </w:r>
      <w:r w:rsidR="00743148" w:rsidRPr="00EC24F7">
        <w:rPr>
          <w:rFonts w:cs="Arial"/>
          <w:lang w:val="en-GB"/>
        </w:rPr>
        <w:t xml:space="preserve"> eviction proceedings</w:t>
      </w:r>
      <w:r w:rsidR="00933A0F" w:rsidRPr="00EC24F7">
        <w:rPr>
          <w:rFonts w:cs="Arial"/>
          <w:lang w:val="en-GB"/>
        </w:rPr>
        <w:t xml:space="preserve"> </w:t>
      </w:r>
      <w:r w:rsidRPr="00EC24F7">
        <w:rPr>
          <w:rFonts w:cs="Arial"/>
          <w:lang w:val="en-GB"/>
        </w:rPr>
        <w:t xml:space="preserve">to accept the version of a person purporting to represent </w:t>
      </w:r>
      <w:r w:rsidR="00743148" w:rsidRPr="00EC24F7">
        <w:rPr>
          <w:rFonts w:cs="Arial"/>
          <w:lang w:val="en-GB"/>
        </w:rPr>
        <w:t xml:space="preserve">the unlawful </w:t>
      </w:r>
      <w:r w:rsidRPr="00EC24F7">
        <w:rPr>
          <w:rFonts w:cs="Arial"/>
          <w:lang w:val="en-GB"/>
        </w:rPr>
        <w:t>occupiers</w:t>
      </w:r>
      <w:r w:rsidR="00743148" w:rsidRPr="00EC24F7">
        <w:rPr>
          <w:rFonts w:cs="Arial"/>
          <w:lang w:val="en-GB"/>
        </w:rPr>
        <w:t xml:space="preserve"> in that matter</w:t>
      </w:r>
      <w:r w:rsidRPr="00EC24F7">
        <w:rPr>
          <w:rFonts w:cs="Arial"/>
          <w:lang w:val="en-GB"/>
        </w:rPr>
        <w:t xml:space="preserve"> in circumstances where that person had no mandate to do so</w:t>
      </w:r>
      <w:r w:rsidR="00F802C9" w:rsidRPr="00EC24F7">
        <w:rPr>
          <w:rFonts w:cs="Arial"/>
          <w:lang w:val="en-GB"/>
        </w:rPr>
        <w:t>.</w:t>
      </w:r>
      <w:r w:rsidRPr="00EC24F7">
        <w:rPr>
          <w:rStyle w:val="FootnoteReference"/>
          <w:rFonts w:cs="Arial"/>
          <w:lang w:val="en-GB"/>
        </w:rPr>
        <w:footnoteReference w:id="22"/>
      </w:r>
      <w:r w:rsidR="000019F6" w:rsidRPr="00EC24F7">
        <w:rPr>
          <w:rFonts w:cs="Arial"/>
          <w:lang w:val="en-GB"/>
        </w:rPr>
        <w:t xml:space="preserve">  In </w:t>
      </w:r>
      <w:r w:rsidR="00F802C9" w:rsidRPr="00EC24F7">
        <w:rPr>
          <w:rFonts w:cs="Arial"/>
          <w:i/>
          <w:iCs/>
        </w:rPr>
        <w:t>Occupiers of Erven 87 and 88 Berea</w:t>
      </w:r>
      <w:r w:rsidR="000019F6" w:rsidRPr="00EC24F7">
        <w:rPr>
          <w:rFonts w:cs="Arial"/>
          <w:i/>
          <w:iCs/>
          <w:lang w:val="en-GB"/>
        </w:rPr>
        <w:t xml:space="preserve"> </w:t>
      </w:r>
      <w:r w:rsidR="000019F6" w:rsidRPr="00EC24F7">
        <w:rPr>
          <w:rFonts w:cs="Arial"/>
          <w:lang w:val="en-GB"/>
        </w:rPr>
        <w:t xml:space="preserve">the occupiers were unrepresented, </w:t>
      </w:r>
      <w:r w:rsidR="00F802C9" w:rsidRPr="00EC24F7">
        <w:rPr>
          <w:rFonts w:cs="Arial"/>
          <w:lang w:val="en-GB"/>
        </w:rPr>
        <w:t xml:space="preserve">whereas </w:t>
      </w:r>
      <w:r w:rsidR="000019F6" w:rsidRPr="00EC24F7">
        <w:rPr>
          <w:rFonts w:cs="Arial"/>
          <w:lang w:val="en-GB"/>
        </w:rPr>
        <w:t>in this matter</w:t>
      </w:r>
      <w:r w:rsidR="00F802C9" w:rsidRPr="00EC24F7">
        <w:rPr>
          <w:rFonts w:cs="Arial"/>
          <w:lang w:val="en-GB"/>
        </w:rPr>
        <w:t xml:space="preserve"> </w:t>
      </w:r>
      <w:r w:rsidR="000019F6" w:rsidRPr="00EC24F7">
        <w:rPr>
          <w:rFonts w:cs="Arial"/>
          <w:lang w:val="en-GB"/>
        </w:rPr>
        <w:t>NU</w:t>
      </w:r>
      <w:r w:rsidR="00F802C9" w:rsidRPr="00EC24F7">
        <w:rPr>
          <w:rFonts w:cs="Arial"/>
          <w:lang w:val="en-GB"/>
        </w:rPr>
        <w:t xml:space="preserve"> represents the majority of the unlawful occupiers.</w:t>
      </w:r>
    </w:p>
    <w:p w14:paraId="289DD5AB" w14:textId="500653BC" w:rsidR="00BA1DCA" w:rsidRPr="00EC24F7" w:rsidRDefault="00275940" w:rsidP="00AB6417">
      <w:pPr>
        <w:numPr>
          <w:ilvl w:val="0"/>
          <w:numId w:val="2"/>
        </w:numPr>
        <w:snapToGrid w:val="0"/>
        <w:spacing w:before="120" w:after="360" w:line="480" w:lineRule="auto"/>
        <w:jc w:val="both"/>
        <w:rPr>
          <w:rFonts w:cs="Arial"/>
          <w:lang w:val="en-GB"/>
        </w:rPr>
      </w:pPr>
      <w:r w:rsidRPr="00EC24F7">
        <w:rPr>
          <w:rFonts w:cs="Arial"/>
          <w:lang w:val="en-GB"/>
        </w:rPr>
        <w:lastRenderedPageBreak/>
        <w:t>The</w:t>
      </w:r>
      <w:r w:rsidR="00BD7478" w:rsidRPr="00EC24F7">
        <w:rPr>
          <w:rFonts w:cs="Arial"/>
          <w:lang w:val="en-GB"/>
        </w:rPr>
        <w:t xml:space="preserve"> contention </w:t>
      </w:r>
      <w:r w:rsidRPr="00EC24F7">
        <w:rPr>
          <w:rFonts w:cs="Arial"/>
          <w:lang w:val="en-GB"/>
        </w:rPr>
        <w:t xml:space="preserve">that NU could not </w:t>
      </w:r>
      <w:r w:rsidR="000156BD" w:rsidRPr="00EC24F7">
        <w:rPr>
          <w:rFonts w:cs="Arial"/>
          <w:lang w:val="en-GB"/>
        </w:rPr>
        <w:t xml:space="preserve">locate </w:t>
      </w:r>
      <w:r w:rsidR="00BD7478" w:rsidRPr="00EC24F7">
        <w:rPr>
          <w:rFonts w:cs="Arial"/>
          <w:lang w:val="en-GB"/>
        </w:rPr>
        <w:t>its clients</w:t>
      </w:r>
      <w:r w:rsidR="000156BD" w:rsidRPr="00EC24F7">
        <w:rPr>
          <w:rFonts w:cs="Arial"/>
          <w:lang w:val="en-GB"/>
        </w:rPr>
        <w:t xml:space="preserve"> so as to </w:t>
      </w:r>
      <w:r w:rsidR="00DB6431" w:rsidRPr="00EC24F7">
        <w:rPr>
          <w:rFonts w:cs="Arial"/>
          <w:lang w:val="en-GB"/>
        </w:rPr>
        <w:t>provide</w:t>
      </w:r>
      <w:r w:rsidRPr="00EC24F7">
        <w:rPr>
          <w:rFonts w:cs="Arial"/>
          <w:lang w:val="en-GB"/>
        </w:rPr>
        <w:t xml:space="preserve"> the</w:t>
      </w:r>
      <w:r w:rsidR="000156BD" w:rsidRPr="00EC24F7">
        <w:rPr>
          <w:rFonts w:cs="Arial"/>
          <w:lang w:val="en-GB"/>
        </w:rPr>
        <w:t xml:space="preserve"> Court and t</w:t>
      </w:r>
      <w:r w:rsidR="00350A0E" w:rsidRPr="00EC24F7">
        <w:rPr>
          <w:rFonts w:cs="Arial"/>
          <w:lang w:val="en-GB"/>
        </w:rPr>
        <w:t xml:space="preserve">he </w:t>
      </w:r>
      <w:r w:rsidR="006B33FD" w:rsidRPr="00EC24F7">
        <w:rPr>
          <w:rFonts w:cs="Arial"/>
          <w:lang w:val="en-GB"/>
        </w:rPr>
        <w:t>parties</w:t>
      </w:r>
      <w:r w:rsidR="00350A0E" w:rsidRPr="00EC24F7">
        <w:rPr>
          <w:rFonts w:cs="Arial"/>
          <w:lang w:val="en-GB"/>
        </w:rPr>
        <w:t xml:space="preserve"> with the</w:t>
      </w:r>
      <w:r w:rsidR="00BD7478" w:rsidRPr="00EC24F7">
        <w:rPr>
          <w:rFonts w:cs="Arial"/>
          <w:lang w:val="en-GB"/>
        </w:rPr>
        <w:t>ir</w:t>
      </w:r>
      <w:r w:rsidRPr="00EC24F7">
        <w:rPr>
          <w:rFonts w:cs="Arial"/>
          <w:lang w:val="en-GB"/>
        </w:rPr>
        <w:t xml:space="preserve"> personal circumstances </w:t>
      </w:r>
      <w:r w:rsidR="00BD7478" w:rsidRPr="00EC24F7">
        <w:rPr>
          <w:rFonts w:cs="Arial"/>
          <w:lang w:val="en-GB"/>
        </w:rPr>
        <w:t>and/</w:t>
      </w:r>
      <w:r w:rsidR="00863847" w:rsidRPr="00EC24F7">
        <w:rPr>
          <w:rFonts w:cs="Arial"/>
          <w:lang w:val="en-GB"/>
        </w:rPr>
        <w:t xml:space="preserve">or </w:t>
      </w:r>
      <w:r w:rsidR="00350A0E" w:rsidRPr="00EC24F7">
        <w:rPr>
          <w:rFonts w:cs="Arial"/>
          <w:lang w:val="en-GB"/>
        </w:rPr>
        <w:t>obtain their</w:t>
      </w:r>
      <w:r w:rsidR="00863847" w:rsidRPr="00EC24F7">
        <w:rPr>
          <w:rFonts w:cs="Arial"/>
          <w:lang w:val="en-GB"/>
        </w:rPr>
        <w:t xml:space="preserve"> confirmatory affidavits</w:t>
      </w:r>
      <w:r w:rsidR="00BD7478" w:rsidRPr="00EC24F7">
        <w:rPr>
          <w:rFonts w:cs="Arial"/>
          <w:lang w:val="en-GB"/>
        </w:rPr>
        <w:t>,</w:t>
      </w:r>
      <w:r w:rsidR="00863847" w:rsidRPr="00EC24F7">
        <w:rPr>
          <w:rFonts w:cs="Arial"/>
          <w:lang w:val="en-GB"/>
        </w:rPr>
        <w:t xml:space="preserve"> </w:t>
      </w:r>
      <w:r w:rsidR="00D16F82" w:rsidRPr="00EC24F7">
        <w:rPr>
          <w:rFonts w:cs="Arial"/>
          <w:lang w:val="en-GB"/>
        </w:rPr>
        <w:t xml:space="preserve">due to the </w:t>
      </w:r>
      <w:r w:rsidR="00BD7478" w:rsidRPr="00EC24F7">
        <w:rPr>
          <w:rFonts w:cs="Arial"/>
          <w:i/>
          <w:iCs/>
          <w:lang w:val="en-GB"/>
        </w:rPr>
        <w:t>‘</w:t>
      </w:r>
      <w:r w:rsidR="00D16F82" w:rsidRPr="00EC24F7">
        <w:rPr>
          <w:rFonts w:cs="Arial"/>
          <w:i/>
          <w:iCs/>
          <w:lang w:val="en-GB"/>
        </w:rPr>
        <w:t>transient nature</w:t>
      </w:r>
      <w:r w:rsidR="00BD7478" w:rsidRPr="00EC24F7">
        <w:rPr>
          <w:rFonts w:cs="Arial"/>
          <w:i/>
          <w:iCs/>
          <w:lang w:val="en-GB"/>
        </w:rPr>
        <w:t>’</w:t>
      </w:r>
      <w:r w:rsidR="00D16F82" w:rsidRPr="00EC24F7">
        <w:rPr>
          <w:rFonts w:cs="Arial"/>
          <w:lang w:val="en-GB"/>
        </w:rPr>
        <w:t xml:space="preserve"> of</w:t>
      </w:r>
      <w:r w:rsidR="00350A0E" w:rsidRPr="00EC24F7">
        <w:rPr>
          <w:rFonts w:cs="Arial"/>
          <w:lang w:val="en-GB"/>
        </w:rPr>
        <w:t xml:space="preserve"> their clients</w:t>
      </w:r>
      <w:r w:rsidR="00D16F82" w:rsidRPr="00EC24F7">
        <w:rPr>
          <w:rFonts w:cs="Arial"/>
          <w:lang w:val="en-GB"/>
        </w:rPr>
        <w:t xml:space="preserve"> and </w:t>
      </w:r>
      <w:r w:rsidR="006B33FD" w:rsidRPr="00EC24F7">
        <w:rPr>
          <w:rFonts w:cs="Arial"/>
          <w:lang w:val="en-GB"/>
        </w:rPr>
        <w:t>NU’s</w:t>
      </w:r>
      <w:r w:rsidR="00D6405B" w:rsidRPr="00EC24F7">
        <w:rPr>
          <w:rFonts w:cs="Arial"/>
          <w:lang w:val="en-GB"/>
        </w:rPr>
        <w:t xml:space="preserve"> </w:t>
      </w:r>
      <w:r w:rsidR="00BD7478" w:rsidRPr="00EC24F7">
        <w:rPr>
          <w:rFonts w:cs="Arial"/>
          <w:lang w:val="en-GB"/>
        </w:rPr>
        <w:t xml:space="preserve">supposedly </w:t>
      </w:r>
      <w:r w:rsidR="00DA5823" w:rsidRPr="00EC24F7">
        <w:rPr>
          <w:rFonts w:cs="Arial"/>
          <w:lang w:val="en-GB"/>
        </w:rPr>
        <w:t>limited resources</w:t>
      </w:r>
      <w:r w:rsidR="00D6405B" w:rsidRPr="00EC24F7">
        <w:rPr>
          <w:rStyle w:val="FootnoteReference"/>
          <w:rFonts w:cs="Arial"/>
          <w:lang w:val="en-GB"/>
        </w:rPr>
        <w:footnoteReference w:id="23"/>
      </w:r>
      <w:r w:rsidR="001C7725" w:rsidRPr="00EC24F7">
        <w:rPr>
          <w:rFonts w:cs="Arial"/>
          <w:lang w:val="en-GB"/>
        </w:rPr>
        <w:t xml:space="preserve"> </w:t>
      </w:r>
      <w:r w:rsidR="00E5175A" w:rsidRPr="00EC24F7">
        <w:rPr>
          <w:rFonts w:cs="Arial"/>
          <w:lang w:val="en-GB"/>
        </w:rPr>
        <w:t>is wholly unsatisfactory</w:t>
      </w:r>
      <w:r w:rsidR="007C7B3A" w:rsidRPr="00EC24F7">
        <w:rPr>
          <w:rFonts w:cs="Arial"/>
          <w:lang w:val="en-GB"/>
        </w:rPr>
        <w:t xml:space="preserve">.  </w:t>
      </w:r>
      <w:r w:rsidR="00052DCA" w:rsidRPr="00EC24F7">
        <w:rPr>
          <w:rFonts w:cs="Arial"/>
          <w:lang w:val="en-GB"/>
        </w:rPr>
        <w:t xml:space="preserve">There is no explanation as to why NU was able to conduct a survey of 97 of its clients but was unable to obtain the confirmatory affidavits of those </w:t>
      </w:r>
      <w:r w:rsidR="00DD11CA" w:rsidRPr="00EC24F7">
        <w:rPr>
          <w:rFonts w:cs="Arial"/>
          <w:lang w:val="en-GB"/>
        </w:rPr>
        <w:t xml:space="preserve">same </w:t>
      </w:r>
      <w:r w:rsidR="00052DCA" w:rsidRPr="00EC24F7">
        <w:rPr>
          <w:rFonts w:cs="Arial"/>
          <w:lang w:val="en-GB"/>
        </w:rPr>
        <w:t>persons</w:t>
      </w:r>
      <w:r w:rsidR="00DD11CA" w:rsidRPr="00EC24F7">
        <w:rPr>
          <w:rFonts w:cs="Arial"/>
          <w:lang w:val="en-GB"/>
        </w:rPr>
        <w:t xml:space="preserve"> and there is no explanation at all for what steps if any were taken to ascertain the personal details of the remaining 16</w:t>
      </w:r>
      <w:r w:rsidR="00AB6417" w:rsidRPr="00EC24F7">
        <w:rPr>
          <w:rFonts w:cs="Arial"/>
          <w:lang w:val="en-GB"/>
        </w:rPr>
        <w:t>9 persons that NU represents</w:t>
      </w:r>
      <w:r w:rsidR="001E2C0E" w:rsidRPr="00EC24F7">
        <w:rPr>
          <w:rFonts w:cs="Arial"/>
          <w:lang w:val="en-GB"/>
        </w:rPr>
        <w:t xml:space="preserve">. This despite NU having been on record for the unlawful occupiers for some seven months by the </w:t>
      </w:r>
      <w:r w:rsidR="00775816">
        <w:rPr>
          <w:rFonts w:cs="Arial"/>
          <w:lang w:val="en-GB"/>
        </w:rPr>
        <w:t xml:space="preserve">time </w:t>
      </w:r>
      <w:r w:rsidR="001E2C0E" w:rsidRPr="00EC24F7">
        <w:rPr>
          <w:rFonts w:cs="Arial"/>
          <w:lang w:val="en-GB"/>
        </w:rPr>
        <w:t>Mr Al-Habsy’s affidavit was delivered</w:t>
      </w:r>
      <w:r w:rsidR="00AB6417" w:rsidRPr="00EC24F7">
        <w:rPr>
          <w:rFonts w:cs="Arial"/>
          <w:lang w:val="en-GB"/>
        </w:rPr>
        <w:t xml:space="preserve">.  A supposed shortage of resources does not and cannot </w:t>
      </w:r>
      <w:r w:rsidR="009E751A" w:rsidRPr="00EC24F7">
        <w:rPr>
          <w:rFonts w:cs="Arial"/>
          <w:lang w:val="en-GB"/>
        </w:rPr>
        <w:t>absolve legal representatives of their obligations as officers of the Court</w:t>
      </w:r>
      <w:r w:rsidR="00430C92" w:rsidRPr="00EC24F7">
        <w:rPr>
          <w:rFonts w:cs="Arial"/>
          <w:lang w:val="en-GB"/>
        </w:rPr>
        <w:t xml:space="preserve"> to at the very least obtain instructions from their clients</w:t>
      </w:r>
      <w:r w:rsidR="009E751A" w:rsidRPr="00EC24F7">
        <w:rPr>
          <w:rFonts w:cs="Arial"/>
          <w:lang w:val="en-GB"/>
        </w:rPr>
        <w:t>.</w:t>
      </w:r>
      <w:r w:rsidR="00FC4AA2" w:rsidRPr="00EC24F7">
        <w:rPr>
          <w:rFonts w:cs="Arial"/>
          <w:lang w:val="en-GB"/>
        </w:rPr>
        <w:t xml:space="preserve">  </w:t>
      </w:r>
      <w:r w:rsidR="00430C92" w:rsidRPr="00EC24F7">
        <w:rPr>
          <w:rFonts w:cs="Arial"/>
          <w:lang w:val="en-GB"/>
        </w:rPr>
        <w:t xml:space="preserve">In addition, </w:t>
      </w:r>
      <w:r w:rsidR="00430C92" w:rsidRPr="00EC24F7">
        <w:rPr>
          <w:rFonts w:cs="Arial"/>
          <w:color w:val="000000" w:themeColor="text1"/>
        </w:rPr>
        <w:t>t</w:t>
      </w:r>
      <w:r w:rsidR="00BA1DCA" w:rsidRPr="00EC24F7">
        <w:rPr>
          <w:rFonts w:cs="Arial"/>
          <w:color w:val="000000" w:themeColor="text1"/>
        </w:rPr>
        <w:t xml:space="preserve">here is a positive obligation on the legal representatives involved in an eviction application to provide information relevant to the just and equitable enquiry in order to place the </w:t>
      </w:r>
      <w:r w:rsidR="0007166C" w:rsidRPr="00EC24F7">
        <w:rPr>
          <w:rFonts w:cs="Arial"/>
          <w:color w:val="000000" w:themeColor="text1"/>
        </w:rPr>
        <w:t>C</w:t>
      </w:r>
      <w:r w:rsidR="00BA1DCA" w:rsidRPr="00EC24F7">
        <w:rPr>
          <w:rFonts w:cs="Arial"/>
          <w:color w:val="000000" w:themeColor="text1"/>
        </w:rPr>
        <w:t>ourt in a position where it is properly able to consider this before granting an eviction order.</w:t>
      </w:r>
      <w:r w:rsidR="000F0F70" w:rsidRPr="00EC24F7">
        <w:rPr>
          <w:rStyle w:val="FootnoteReference"/>
          <w:rFonts w:cs="Arial"/>
          <w:color w:val="000000" w:themeColor="text1"/>
        </w:rPr>
        <w:footnoteReference w:id="24"/>
      </w:r>
    </w:p>
    <w:p w14:paraId="370DA330" w14:textId="77777777" w:rsidR="00165B14" w:rsidRPr="00EC24F7" w:rsidRDefault="00165B14" w:rsidP="00165B14">
      <w:pPr>
        <w:numPr>
          <w:ilvl w:val="0"/>
          <w:numId w:val="2"/>
        </w:numPr>
        <w:snapToGrid w:val="0"/>
        <w:spacing w:before="120" w:after="360" w:line="480" w:lineRule="auto"/>
        <w:jc w:val="both"/>
        <w:rPr>
          <w:rFonts w:cs="Arial"/>
          <w:lang w:val="en-GB"/>
        </w:rPr>
      </w:pPr>
      <w:r w:rsidRPr="00EC24F7">
        <w:rPr>
          <w:rFonts w:cs="Arial"/>
          <w:lang w:val="en-GB"/>
        </w:rPr>
        <w:t xml:space="preserve">The Constitutional Court in </w:t>
      </w:r>
      <w:r w:rsidRPr="00EC24F7">
        <w:rPr>
          <w:rFonts w:cs="Arial"/>
          <w:i/>
          <w:iCs/>
        </w:rPr>
        <w:t>Occupiers of Erven 87 and 88 Berea</w:t>
      </w:r>
      <w:r w:rsidRPr="00EC24F7">
        <w:rPr>
          <w:rFonts w:cs="Arial"/>
        </w:rPr>
        <w:t xml:space="preserve"> explained the obligations on legal representatives as follows:</w:t>
      </w:r>
      <w:r w:rsidRPr="00EC24F7">
        <w:rPr>
          <w:rStyle w:val="FootnoteReference"/>
          <w:rFonts w:cs="Arial"/>
        </w:rPr>
        <w:footnoteReference w:id="25"/>
      </w:r>
    </w:p>
    <w:p w14:paraId="213A4460" w14:textId="77777777" w:rsidR="00165B14" w:rsidRPr="00EC24F7" w:rsidRDefault="00165B14" w:rsidP="00165B14">
      <w:pPr>
        <w:snapToGrid w:val="0"/>
        <w:spacing w:before="120" w:after="360" w:line="360" w:lineRule="auto"/>
        <w:ind w:left="1134"/>
        <w:jc w:val="both"/>
        <w:rPr>
          <w:rFonts w:cs="Arial"/>
          <w:i/>
          <w:iCs/>
          <w:lang w:val="en-GB"/>
        </w:rPr>
      </w:pPr>
      <w:r w:rsidRPr="00EC24F7">
        <w:rPr>
          <w:rFonts w:cs="Arial"/>
          <w:i/>
          <w:iCs/>
          <w:color w:val="242121"/>
          <w:shd w:val="clear" w:color="auto" w:fill="FFFFFF"/>
        </w:rPr>
        <w:t xml:space="preserve">‘It is a consideration of justice and equity in which the court is required and expected to take an active role.  In order to perform its duty properly the court needs to have all the necessary information.  The obligation to provide the relevant information is first and foremost on the parties to the proceedings.  As officers of the court, attorneys and advocates must furnish the court with all relevant information that is in their possession in order for </w:t>
      </w:r>
      <w:r w:rsidRPr="00EC24F7">
        <w:rPr>
          <w:rFonts w:cs="Arial"/>
          <w:i/>
          <w:iCs/>
          <w:color w:val="242121"/>
          <w:shd w:val="clear" w:color="auto" w:fill="FFFFFF"/>
        </w:rPr>
        <w:lastRenderedPageBreak/>
        <w:t>the court to properly interrogate the justice and equity of ordering an eviction…’</w:t>
      </w:r>
    </w:p>
    <w:p w14:paraId="52E1B40F" w14:textId="62BC6F21" w:rsidR="00B40973" w:rsidRPr="00EC24F7" w:rsidRDefault="00C43B23" w:rsidP="008C02A4">
      <w:pPr>
        <w:numPr>
          <w:ilvl w:val="0"/>
          <w:numId w:val="2"/>
        </w:numPr>
        <w:snapToGrid w:val="0"/>
        <w:spacing w:before="120" w:after="360" w:line="480" w:lineRule="auto"/>
        <w:jc w:val="both"/>
        <w:rPr>
          <w:rFonts w:cs="Arial"/>
          <w:lang w:val="en-GB"/>
        </w:rPr>
      </w:pPr>
      <w:r w:rsidRPr="00EC24F7">
        <w:rPr>
          <w:rFonts w:cs="Arial"/>
          <w:lang w:val="en-GB"/>
        </w:rPr>
        <w:t xml:space="preserve">As was stated by the Full Bench of this Division in </w:t>
      </w:r>
      <w:r w:rsidR="00E75507" w:rsidRPr="00EC24F7">
        <w:rPr>
          <w:rFonts w:cs="Arial"/>
          <w:i/>
          <w:iCs/>
          <w:color w:val="000000" w:themeColor="text1"/>
        </w:rPr>
        <w:t>Luanga v Perth Park Properties Ltd</w:t>
      </w:r>
      <w:r w:rsidR="00E37251">
        <w:rPr>
          <w:rFonts w:cs="Arial"/>
          <w:i/>
          <w:iCs/>
          <w:color w:val="000000" w:themeColor="text1"/>
        </w:rPr>
        <w:t>,</w:t>
      </w:r>
      <w:r w:rsidR="00E75507" w:rsidRPr="00EC24F7">
        <w:rPr>
          <w:rFonts w:cs="Arial"/>
          <w:color w:val="000000" w:themeColor="text1"/>
        </w:rPr>
        <w:t xml:space="preserve"> </w:t>
      </w:r>
      <w:r w:rsidRPr="00EC24F7">
        <w:rPr>
          <w:rFonts w:cs="Arial"/>
          <w:color w:val="000000" w:themeColor="text1"/>
        </w:rPr>
        <w:t>there is a duty on legal representatives in eviction proceedings as officers of the court not only to advise their clients of the obligation to make full disclosure of all relevant personal circumstances but to actively seek to assist their clients to present the necessary information.</w:t>
      </w:r>
      <w:r w:rsidR="000F0F70" w:rsidRPr="00EC24F7">
        <w:rPr>
          <w:rStyle w:val="FootnoteReference"/>
          <w:rFonts w:cs="Arial"/>
          <w:color w:val="000000" w:themeColor="text1"/>
        </w:rPr>
        <w:footnoteReference w:id="26"/>
      </w:r>
      <w:r w:rsidR="00B262AF" w:rsidRPr="00EC24F7">
        <w:rPr>
          <w:rFonts w:cs="Arial"/>
          <w:lang w:val="en-GB"/>
        </w:rPr>
        <w:t xml:space="preserve"> </w:t>
      </w:r>
    </w:p>
    <w:p w14:paraId="762A393E" w14:textId="7590E268" w:rsidR="005E3772" w:rsidRPr="00EC24F7" w:rsidRDefault="00B262AF" w:rsidP="009704FF">
      <w:pPr>
        <w:numPr>
          <w:ilvl w:val="0"/>
          <w:numId w:val="2"/>
        </w:numPr>
        <w:snapToGrid w:val="0"/>
        <w:spacing w:before="120" w:after="360" w:line="480" w:lineRule="auto"/>
        <w:jc w:val="both"/>
        <w:rPr>
          <w:rFonts w:cs="Arial"/>
          <w:lang w:val="en-GB"/>
        </w:rPr>
      </w:pPr>
      <w:r w:rsidRPr="00EC24F7">
        <w:rPr>
          <w:rFonts w:cs="Arial"/>
          <w:color w:val="000000" w:themeColor="text1"/>
          <w:lang w:val="en-GB"/>
        </w:rPr>
        <w:t>R</w:t>
      </w:r>
      <w:r w:rsidR="005E3772" w:rsidRPr="00EC24F7">
        <w:rPr>
          <w:rFonts w:cs="Arial"/>
          <w:color w:val="000000" w:themeColor="text1"/>
          <w:lang w:val="en-GB"/>
        </w:rPr>
        <w:t xml:space="preserve">ecently, </w:t>
      </w:r>
      <w:r w:rsidR="005E3772" w:rsidRPr="00EC24F7">
        <w:rPr>
          <w:rFonts w:cs="Arial"/>
          <w:i/>
          <w:iCs/>
          <w:color w:val="000000" w:themeColor="text1"/>
          <w:lang w:val="en-GB"/>
        </w:rPr>
        <w:t xml:space="preserve">albeit </w:t>
      </w:r>
      <w:r w:rsidR="005E3772" w:rsidRPr="00EC24F7">
        <w:rPr>
          <w:rFonts w:cs="Arial"/>
          <w:color w:val="000000" w:themeColor="text1"/>
          <w:lang w:val="en-GB"/>
        </w:rPr>
        <w:t xml:space="preserve">in the context of ESTA proceedings, the Supreme Court of Appeal in </w:t>
      </w:r>
      <w:r w:rsidR="005E3772" w:rsidRPr="00EC24F7">
        <w:rPr>
          <w:rFonts w:cs="Arial"/>
          <w:i/>
          <w:iCs/>
          <w:color w:val="000000" w:themeColor="text1"/>
          <w:lang w:val="en-GB"/>
        </w:rPr>
        <w:t>Rowland and Others v Logo Carriers CC</w:t>
      </w:r>
      <w:r w:rsidR="005E3772" w:rsidRPr="00EC24F7">
        <w:rPr>
          <w:rStyle w:val="FootnoteReference"/>
          <w:rFonts w:cs="Arial"/>
          <w:color w:val="000000" w:themeColor="text1"/>
          <w:lang w:val="en-GB"/>
        </w:rPr>
        <w:footnoteReference w:id="27"/>
      </w:r>
      <w:r w:rsidR="005E3772" w:rsidRPr="00EC24F7">
        <w:rPr>
          <w:rFonts w:cs="Arial"/>
          <w:i/>
          <w:iCs/>
          <w:color w:val="000000" w:themeColor="text1"/>
          <w:lang w:val="en-GB"/>
        </w:rPr>
        <w:t xml:space="preserve"> </w:t>
      </w:r>
      <w:r w:rsidR="005E3772" w:rsidRPr="00EC24F7">
        <w:rPr>
          <w:rFonts w:cs="Arial"/>
          <w:color w:val="000000" w:themeColor="text1"/>
          <w:lang w:val="en-GB"/>
        </w:rPr>
        <w:t xml:space="preserve">held </w:t>
      </w:r>
      <w:r w:rsidR="008C02A4" w:rsidRPr="00EC24F7">
        <w:rPr>
          <w:rFonts w:cs="Arial"/>
          <w:color w:val="000000" w:themeColor="text1"/>
          <w:lang w:val="en-GB"/>
        </w:rPr>
        <w:t xml:space="preserve">that one cannot participate in proceedings through </w:t>
      </w:r>
      <w:r w:rsidR="005E3772" w:rsidRPr="00EC24F7">
        <w:rPr>
          <w:rFonts w:cs="Arial"/>
        </w:rPr>
        <w:t xml:space="preserve">representatives, </w:t>
      </w:r>
      <w:r w:rsidR="008C02A4" w:rsidRPr="00EC24F7">
        <w:rPr>
          <w:rFonts w:cs="Arial"/>
        </w:rPr>
        <w:t xml:space="preserve">and </w:t>
      </w:r>
      <w:r w:rsidR="005E3772" w:rsidRPr="00EC24F7">
        <w:rPr>
          <w:rFonts w:cs="Arial"/>
        </w:rPr>
        <w:t>decline to place relevant facts in evidence, and then, on appeal, seek to impugn a discretion on the ground that those facts were not considered</w:t>
      </w:r>
      <w:r w:rsidR="005E3772" w:rsidRPr="00EC24F7">
        <w:rPr>
          <w:rFonts w:cs="Arial"/>
          <w:i/>
          <w:iCs/>
        </w:rPr>
        <w:t>.</w:t>
      </w:r>
      <w:r w:rsidR="009704FF" w:rsidRPr="00EC24F7">
        <w:rPr>
          <w:rFonts w:cs="Arial"/>
          <w:i/>
          <w:iCs/>
        </w:rPr>
        <w:t xml:space="preserve">  </w:t>
      </w:r>
      <w:r w:rsidR="009704FF" w:rsidRPr="00EC24F7">
        <w:rPr>
          <w:rFonts w:cs="Arial"/>
        </w:rPr>
        <w:t xml:space="preserve">Moreover, </w:t>
      </w:r>
      <w:r w:rsidR="009704FF" w:rsidRPr="00EC24F7">
        <w:rPr>
          <w:rFonts w:cs="Arial"/>
          <w:lang w:val="en-GB"/>
        </w:rPr>
        <w:t>w</w:t>
      </w:r>
      <w:r w:rsidR="005E3772" w:rsidRPr="00EC24F7">
        <w:rPr>
          <w:rFonts w:cs="Arial"/>
          <w:color w:val="242121"/>
          <w:shd w:val="clear" w:color="auto" w:fill="FFFFFF"/>
          <w:lang w:val="en-GB"/>
        </w:rPr>
        <w:t xml:space="preserve">here the affidavits are silent on matters which a respondent should be able to address with relative ease, a satisfactory explanation should be provided for the omission. In the absence thereof, a </w:t>
      </w:r>
      <w:r w:rsidR="009704FF" w:rsidRPr="00EC24F7">
        <w:rPr>
          <w:rFonts w:cs="Arial"/>
          <w:color w:val="242121"/>
          <w:shd w:val="clear" w:color="auto" w:fill="FFFFFF"/>
          <w:lang w:val="en-GB"/>
        </w:rPr>
        <w:t>c</w:t>
      </w:r>
      <w:r w:rsidR="005E3772" w:rsidRPr="00EC24F7">
        <w:rPr>
          <w:rFonts w:cs="Arial"/>
          <w:color w:val="242121"/>
          <w:shd w:val="clear" w:color="auto" w:fill="FFFFFF"/>
          <w:lang w:val="en-GB"/>
        </w:rPr>
        <w:t xml:space="preserve">ourt </w:t>
      </w:r>
      <w:r w:rsidR="009704FF" w:rsidRPr="00EC24F7">
        <w:rPr>
          <w:rFonts w:cs="Arial"/>
          <w:color w:val="242121"/>
          <w:shd w:val="clear" w:color="auto" w:fill="FFFFFF"/>
          <w:lang w:val="en-GB"/>
        </w:rPr>
        <w:t>is</w:t>
      </w:r>
      <w:r w:rsidR="005E3772" w:rsidRPr="00EC24F7">
        <w:rPr>
          <w:rFonts w:cs="Arial"/>
          <w:color w:val="242121"/>
          <w:shd w:val="clear" w:color="auto" w:fill="FFFFFF"/>
          <w:lang w:val="en-GB"/>
        </w:rPr>
        <w:t xml:space="preserve"> justified in drawing the inference that a bald assertion of homelessness is not genuine and credible.</w:t>
      </w:r>
      <w:r w:rsidR="005E3772" w:rsidRPr="00EC24F7">
        <w:rPr>
          <w:rStyle w:val="FootnoteReference"/>
          <w:rFonts w:cs="Arial"/>
          <w:color w:val="242121"/>
          <w:shd w:val="clear" w:color="auto" w:fill="FFFFFF"/>
          <w:lang w:val="en-GB"/>
        </w:rPr>
        <w:footnoteReference w:id="28"/>
      </w:r>
    </w:p>
    <w:p w14:paraId="244442BB" w14:textId="58A10934" w:rsidR="004D6942" w:rsidRPr="00EC24F7" w:rsidRDefault="00050FCE" w:rsidP="000F39BC">
      <w:pPr>
        <w:numPr>
          <w:ilvl w:val="0"/>
          <w:numId w:val="2"/>
        </w:numPr>
        <w:snapToGrid w:val="0"/>
        <w:spacing w:before="120" w:after="360" w:line="480" w:lineRule="auto"/>
        <w:jc w:val="both"/>
        <w:rPr>
          <w:rFonts w:cs="Arial"/>
          <w:lang w:val="en-GB"/>
        </w:rPr>
      </w:pPr>
      <w:r w:rsidRPr="00EC24F7">
        <w:rPr>
          <w:rFonts w:cs="Arial"/>
          <w:color w:val="000000" w:themeColor="text1"/>
          <w:lang w:val="en-GB"/>
        </w:rPr>
        <w:t xml:space="preserve">It bears reiterate that </w:t>
      </w:r>
      <w:r w:rsidRPr="00EC24F7">
        <w:rPr>
          <w:rFonts w:cs="Arial"/>
          <w:lang w:val="en-GB"/>
        </w:rPr>
        <w:t>the unlawful occupiers have failed to put up any admissible evidence regarding their personal circumstances, aside from Mr Al-Habsy’s averments in relation to his own circumstances</w:t>
      </w:r>
      <w:r w:rsidR="00414368">
        <w:rPr>
          <w:rFonts w:cs="Arial"/>
          <w:lang w:val="en-GB"/>
        </w:rPr>
        <w:t>.</w:t>
      </w:r>
      <w:r w:rsidR="00FC2FE3" w:rsidRPr="00EC24F7">
        <w:rPr>
          <w:rFonts w:cs="Arial"/>
          <w:lang w:val="en-GB"/>
        </w:rPr>
        <w:t xml:space="preserve"> Mr Al-Habsy impermissibl</w:t>
      </w:r>
      <w:r w:rsidR="00414368">
        <w:rPr>
          <w:rFonts w:cs="Arial"/>
          <w:lang w:val="en-GB"/>
        </w:rPr>
        <w:t>y</w:t>
      </w:r>
      <w:r w:rsidR="00FC2FE3" w:rsidRPr="00EC24F7">
        <w:rPr>
          <w:rFonts w:cs="Arial"/>
          <w:lang w:val="en-GB"/>
        </w:rPr>
        <w:t xml:space="preserve"> see</w:t>
      </w:r>
      <w:r w:rsidR="00414368">
        <w:rPr>
          <w:rFonts w:cs="Arial"/>
          <w:lang w:val="en-GB"/>
        </w:rPr>
        <w:t>k</w:t>
      </w:r>
      <w:r w:rsidR="00FC2FE3" w:rsidRPr="00EC24F7">
        <w:rPr>
          <w:rFonts w:cs="Arial"/>
          <w:lang w:val="en-GB"/>
        </w:rPr>
        <w:t>s to give evidence in respect of matters which fall outside of his personal knowledge</w:t>
      </w:r>
      <w:r w:rsidRPr="00EC24F7">
        <w:rPr>
          <w:rFonts w:cs="Arial"/>
          <w:lang w:val="en-GB"/>
        </w:rPr>
        <w:t>.</w:t>
      </w:r>
      <w:r w:rsidR="000F39BC" w:rsidRPr="00EC24F7">
        <w:rPr>
          <w:rFonts w:cs="Arial"/>
          <w:lang w:val="en-GB"/>
        </w:rPr>
        <w:t xml:space="preserve">  </w:t>
      </w:r>
      <w:r w:rsidR="008446B5" w:rsidRPr="00EC24F7">
        <w:rPr>
          <w:rFonts w:cs="Arial"/>
          <w:lang w:val="en-GB"/>
        </w:rPr>
        <w:t>Consequently</w:t>
      </w:r>
      <w:r w:rsidR="00C0285D" w:rsidRPr="00EC24F7">
        <w:rPr>
          <w:rFonts w:cs="Arial"/>
          <w:lang w:val="en-GB"/>
        </w:rPr>
        <w:t xml:space="preserve">, </w:t>
      </w:r>
      <w:r w:rsidR="00211189" w:rsidRPr="00EC24F7">
        <w:rPr>
          <w:rFonts w:cs="Arial"/>
          <w:lang w:val="en-GB"/>
        </w:rPr>
        <w:t>the City has sought to strike the</w:t>
      </w:r>
      <w:r w:rsidR="004D6942" w:rsidRPr="00EC24F7">
        <w:rPr>
          <w:rFonts w:cs="Arial"/>
          <w:lang w:val="en-GB"/>
        </w:rPr>
        <w:t xml:space="preserve"> </w:t>
      </w:r>
      <w:r w:rsidRPr="00EC24F7">
        <w:rPr>
          <w:rFonts w:cs="Arial"/>
          <w:lang w:val="en-GB"/>
        </w:rPr>
        <w:t xml:space="preserve">hearsay averments </w:t>
      </w:r>
      <w:r w:rsidRPr="00EC24F7">
        <w:rPr>
          <w:rFonts w:cs="Arial"/>
          <w:lang w:val="en-GB"/>
        </w:rPr>
        <w:lastRenderedPageBreak/>
        <w:t>in his affidavit</w:t>
      </w:r>
      <w:r w:rsidR="005B3337" w:rsidRPr="00EC24F7">
        <w:rPr>
          <w:rFonts w:cs="Arial"/>
          <w:lang w:val="en-GB"/>
        </w:rPr>
        <w:t xml:space="preserve"> as set out in the notice to strike out filed with the City’s further affidavit</w:t>
      </w:r>
      <w:r w:rsidR="005C21F3" w:rsidRPr="00EC24F7">
        <w:rPr>
          <w:rFonts w:cs="Arial"/>
          <w:lang w:val="en-GB"/>
        </w:rPr>
        <w:t>.</w:t>
      </w:r>
      <w:r w:rsidR="005C21F3" w:rsidRPr="00EC24F7">
        <w:rPr>
          <w:rStyle w:val="FootnoteReference"/>
          <w:rFonts w:cs="Arial"/>
          <w:lang w:val="en-GB"/>
        </w:rPr>
        <w:footnoteReference w:id="29"/>
      </w:r>
    </w:p>
    <w:p w14:paraId="714E1580" w14:textId="36709942" w:rsidR="00610FAE" w:rsidRPr="00EC24F7" w:rsidRDefault="00E634E1" w:rsidP="002365F1">
      <w:pPr>
        <w:numPr>
          <w:ilvl w:val="0"/>
          <w:numId w:val="2"/>
        </w:numPr>
        <w:snapToGrid w:val="0"/>
        <w:spacing w:before="120" w:after="360" w:line="480" w:lineRule="auto"/>
        <w:jc w:val="both"/>
        <w:rPr>
          <w:rFonts w:cs="Arial"/>
          <w:lang w:val="en-GB"/>
        </w:rPr>
      </w:pPr>
      <w:r w:rsidRPr="00EC24F7">
        <w:rPr>
          <w:rFonts w:cs="Arial"/>
          <w:lang w:val="en-GB"/>
        </w:rPr>
        <w:t>Consequently,</w:t>
      </w:r>
      <w:r w:rsidR="00C23EA1" w:rsidRPr="00EC24F7">
        <w:rPr>
          <w:rFonts w:cs="Arial"/>
          <w:lang w:val="en-GB"/>
        </w:rPr>
        <w:t xml:space="preserve"> the City’s </w:t>
      </w:r>
      <w:r w:rsidRPr="00EC24F7">
        <w:rPr>
          <w:rFonts w:cs="Arial"/>
          <w:lang w:val="en-GB"/>
        </w:rPr>
        <w:t>averments</w:t>
      </w:r>
      <w:r w:rsidR="002365F1" w:rsidRPr="00EC24F7">
        <w:rPr>
          <w:rFonts w:cs="Arial"/>
          <w:lang w:val="en-GB"/>
        </w:rPr>
        <w:t xml:space="preserve"> regarding the nature of the unlawful occupation stand uncontroverted.</w:t>
      </w:r>
    </w:p>
    <w:p w14:paraId="2AC4B5C5" w14:textId="0B4868D3" w:rsidR="0096315F" w:rsidRPr="00EC24F7" w:rsidRDefault="00A95BF8" w:rsidP="0096315F">
      <w:pPr>
        <w:pStyle w:val="Heading1"/>
        <w:rPr>
          <w:rFonts w:cs="Arial"/>
          <w:b w:val="0"/>
          <w:bCs/>
          <w:szCs w:val="24"/>
          <w:lang w:val="en-GB"/>
        </w:rPr>
      </w:pPr>
      <w:bookmarkStart w:id="3" w:name="_Toc225751542"/>
      <w:bookmarkStart w:id="4" w:name="_Toc226040122"/>
      <w:r w:rsidRPr="00EC24F7">
        <w:rPr>
          <w:rFonts w:cs="Arial"/>
          <w:bCs/>
          <w:szCs w:val="24"/>
          <w:lang w:val="en-GB"/>
        </w:rPr>
        <w:t xml:space="preserve">THE </w:t>
      </w:r>
      <w:r w:rsidR="0096315F" w:rsidRPr="00EC24F7">
        <w:rPr>
          <w:rFonts w:cs="Arial"/>
          <w:bCs/>
          <w:szCs w:val="24"/>
          <w:lang w:val="en-GB"/>
        </w:rPr>
        <w:t>COMMON CAUSE FACTS</w:t>
      </w:r>
      <w:bookmarkEnd w:id="3"/>
      <w:bookmarkEnd w:id="4"/>
    </w:p>
    <w:p w14:paraId="4A363C1D" w14:textId="03F2596B" w:rsidR="006419FE" w:rsidRPr="00EC24F7" w:rsidRDefault="00F15516" w:rsidP="008F12C4">
      <w:pPr>
        <w:numPr>
          <w:ilvl w:val="0"/>
          <w:numId w:val="2"/>
        </w:numPr>
        <w:snapToGrid w:val="0"/>
        <w:spacing w:before="120" w:after="360" w:line="480" w:lineRule="auto"/>
        <w:jc w:val="both"/>
        <w:rPr>
          <w:rFonts w:cs="Arial"/>
          <w:lang w:val="en-GB"/>
        </w:rPr>
      </w:pPr>
      <w:r w:rsidRPr="00EC24F7">
        <w:rPr>
          <w:rFonts w:cs="Arial"/>
          <w:lang w:val="en-GB"/>
        </w:rPr>
        <w:t>It is not disputed that Transnet owns the properties</w:t>
      </w:r>
      <w:r w:rsidR="00A61BFB" w:rsidRPr="00EC24F7">
        <w:rPr>
          <w:rFonts w:cs="Arial"/>
          <w:lang w:val="en-GB"/>
        </w:rPr>
        <w:t>,</w:t>
      </w:r>
      <w:r w:rsidRPr="00EC24F7">
        <w:rPr>
          <w:rFonts w:cs="Arial"/>
          <w:lang w:val="en-GB"/>
        </w:rPr>
        <w:t xml:space="preserve"> </w:t>
      </w:r>
      <w:r w:rsidR="00854591" w:rsidRPr="00EC24F7">
        <w:rPr>
          <w:rFonts w:cs="Arial"/>
          <w:lang w:val="en-GB"/>
        </w:rPr>
        <w:t xml:space="preserve">that </w:t>
      </w:r>
      <w:r w:rsidR="000A59F3" w:rsidRPr="00EC24F7">
        <w:rPr>
          <w:rFonts w:cs="Arial"/>
          <w:lang w:val="en-GB"/>
        </w:rPr>
        <w:t>the properties</w:t>
      </w:r>
      <w:r w:rsidR="006419FE" w:rsidRPr="00EC24F7">
        <w:rPr>
          <w:rFonts w:cs="Arial"/>
          <w:lang w:val="en-GB"/>
        </w:rPr>
        <w:t xml:space="preserve"> are unlawfully occupied</w:t>
      </w:r>
      <w:r w:rsidR="00A61BFB" w:rsidRPr="00EC24F7">
        <w:rPr>
          <w:rFonts w:cs="Arial"/>
          <w:lang w:val="en-GB"/>
        </w:rPr>
        <w:t>,</w:t>
      </w:r>
      <w:r w:rsidR="009B5226" w:rsidRPr="00EC24F7">
        <w:rPr>
          <w:rStyle w:val="FootnoteReference"/>
          <w:rFonts w:cs="Arial"/>
          <w:lang w:val="en-GB"/>
        </w:rPr>
        <w:footnoteReference w:id="30"/>
      </w:r>
      <w:r w:rsidRPr="00EC24F7">
        <w:rPr>
          <w:rFonts w:cs="Arial"/>
          <w:lang w:val="en-GB"/>
        </w:rPr>
        <w:t xml:space="preserve"> </w:t>
      </w:r>
      <w:r w:rsidR="00A61BFB" w:rsidRPr="00EC24F7">
        <w:rPr>
          <w:rFonts w:cs="Arial"/>
          <w:lang w:val="en-GB"/>
        </w:rPr>
        <w:t xml:space="preserve">and </w:t>
      </w:r>
      <w:r w:rsidR="001F12A1" w:rsidRPr="00EC24F7">
        <w:rPr>
          <w:rFonts w:cs="Arial"/>
          <w:lang w:val="en-GB"/>
        </w:rPr>
        <w:t xml:space="preserve">that </w:t>
      </w:r>
      <w:r w:rsidR="004C039E" w:rsidRPr="00EC24F7">
        <w:rPr>
          <w:rFonts w:cs="Arial"/>
          <w:lang w:val="en-GB"/>
        </w:rPr>
        <w:t xml:space="preserve">Transnet requires </w:t>
      </w:r>
      <w:r w:rsidR="006419FE" w:rsidRPr="00EC24F7">
        <w:rPr>
          <w:rFonts w:cs="Arial"/>
          <w:lang w:val="en-GB"/>
        </w:rPr>
        <w:t>the</w:t>
      </w:r>
      <w:r w:rsidR="004C039E" w:rsidRPr="00EC24F7">
        <w:rPr>
          <w:rFonts w:cs="Arial"/>
          <w:lang w:val="en-GB"/>
        </w:rPr>
        <w:t xml:space="preserve"> properties for its commercial activities</w:t>
      </w:r>
      <w:r w:rsidR="008E67F4" w:rsidRPr="00EC24F7">
        <w:rPr>
          <w:rFonts w:cs="Arial"/>
          <w:lang w:val="en-GB"/>
        </w:rPr>
        <w:t>.</w:t>
      </w:r>
      <w:r w:rsidR="004C039E" w:rsidRPr="00EC24F7">
        <w:rPr>
          <w:rStyle w:val="FootnoteReference"/>
          <w:rFonts w:cs="Arial"/>
          <w:lang w:val="en-GB"/>
        </w:rPr>
        <w:footnoteReference w:id="31"/>
      </w:r>
    </w:p>
    <w:p w14:paraId="507BA2BC" w14:textId="6B229F64" w:rsidR="0029247A" w:rsidRPr="00EC24F7" w:rsidRDefault="005403C1" w:rsidP="0038681F">
      <w:pPr>
        <w:numPr>
          <w:ilvl w:val="0"/>
          <w:numId w:val="2"/>
        </w:numPr>
        <w:snapToGrid w:val="0"/>
        <w:spacing w:before="120" w:after="360" w:line="480" w:lineRule="auto"/>
        <w:jc w:val="both"/>
        <w:rPr>
          <w:rFonts w:cs="Arial"/>
          <w:lang w:val="en-GB"/>
        </w:rPr>
      </w:pPr>
      <w:r w:rsidRPr="00EC24F7">
        <w:rPr>
          <w:rFonts w:cs="Arial"/>
          <w:lang w:val="en-GB"/>
        </w:rPr>
        <w:t xml:space="preserve">Although </w:t>
      </w:r>
      <w:r w:rsidR="00A852EC" w:rsidRPr="00EC24F7">
        <w:rPr>
          <w:rFonts w:cs="Arial"/>
          <w:lang w:val="en-GB"/>
        </w:rPr>
        <w:t xml:space="preserve">the unlawful occupiers </w:t>
      </w:r>
      <w:r w:rsidRPr="00EC24F7">
        <w:rPr>
          <w:rFonts w:cs="Arial"/>
          <w:lang w:val="en-GB"/>
        </w:rPr>
        <w:t xml:space="preserve">and Transnet </w:t>
      </w:r>
      <w:r w:rsidR="00123663" w:rsidRPr="00EC24F7">
        <w:rPr>
          <w:rFonts w:cs="Arial"/>
          <w:lang w:val="en-GB"/>
        </w:rPr>
        <w:t xml:space="preserve">attempt </w:t>
      </w:r>
      <w:r w:rsidR="000578FF" w:rsidRPr="00EC24F7">
        <w:rPr>
          <w:rFonts w:cs="Arial"/>
          <w:lang w:val="en-GB"/>
        </w:rPr>
        <w:t xml:space="preserve">to deny the </w:t>
      </w:r>
      <w:r w:rsidR="00A852EC" w:rsidRPr="00EC24F7">
        <w:rPr>
          <w:rFonts w:cs="Arial"/>
          <w:lang w:val="en-GB"/>
        </w:rPr>
        <w:t xml:space="preserve">City’s averments in regard to the purpose of the </w:t>
      </w:r>
      <w:r w:rsidR="00A35BEC">
        <w:rPr>
          <w:rFonts w:cs="Arial"/>
          <w:lang w:val="en-GB"/>
        </w:rPr>
        <w:t xml:space="preserve">unlawful </w:t>
      </w:r>
      <w:r w:rsidR="00A852EC" w:rsidRPr="00EC24F7">
        <w:rPr>
          <w:rFonts w:cs="Arial"/>
          <w:lang w:val="en-GB"/>
        </w:rPr>
        <w:t xml:space="preserve">occupation and in particular the City’s </w:t>
      </w:r>
      <w:r w:rsidR="000578FF" w:rsidRPr="00EC24F7">
        <w:rPr>
          <w:rFonts w:cs="Arial"/>
          <w:lang w:val="en-GB"/>
        </w:rPr>
        <w:t xml:space="preserve">allegations </w:t>
      </w:r>
      <w:r w:rsidR="00A852EC" w:rsidRPr="00EC24F7">
        <w:rPr>
          <w:rFonts w:cs="Arial"/>
          <w:lang w:val="en-GB"/>
        </w:rPr>
        <w:t xml:space="preserve">regarding the use of the property for purposes of criminal </w:t>
      </w:r>
      <w:r w:rsidR="00A35BEC">
        <w:rPr>
          <w:rFonts w:cs="Arial"/>
          <w:lang w:val="en-GB"/>
        </w:rPr>
        <w:t>conduct</w:t>
      </w:r>
      <w:r w:rsidR="00D213A8" w:rsidRPr="00EC24F7">
        <w:rPr>
          <w:rFonts w:cs="Arial"/>
          <w:lang w:val="en-GB"/>
        </w:rPr>
        <w:t>,</w:t>
      </w:r>
      <w:r w:rsidR="000578FF" w:rsidRPr="00EC24F7">
        <w:rPr>
          <w:rFonts w:cs="Arial"/>
          <w:lang w:val="en-GB"/>
        </w:rPr>
        <w:t xml:space="preserve"> </w:t>
      </w:r>
      <w:r w:rsidR="008F12C4" w:rsidRPr="00EC24F7">
        <w:rPr>
          <w:rFonts w:cs="Arial"/>
          <w:lang w:val="en-GB"/>
        </w:rPr>
        <w:t>neither party has</w:t>
      </w:r>
      <w:r w:rsidR="000578FF" w:rsidRPr="00EC24F7">
        <w:rPr>
          <w:rFonts w:cs="Arial"/>
          <w:lang w:val="en-GB"/>
        </w:rPr>
        <w:t xml:space="preserve"> put up </w:t>
      </w:r>
      <w:r w:rsidR="008F12C4" w:rsidRPr="00EC24F7">
        <w:rPr>
          <w:rFonts w:cs="Arial"/>
          <w:lang w:val="en-GB"/>
        </w:rPr>
        <w:t>any</w:t>
      </w:r>
      <w:r w:rsidR="000578FF" w:rsidRPr="00EC24F7">
        <w:rPr>
          <w:rFonts w:cs="Arial"/>
          <w:lang w:val="en-GB"/>
        </w:rPr>
        <w:t xml:space="preserve"> evidence to gainsay </w:t>
      </w:r>
      <w:r w:rsidR="008F12C4" w:rsidRPr="00EC24F7">
        <w:rPr>
          <w:rFonts w:cs="Arial"/>
          <w:lang w:val="en-GB"/>
        </w:rPr>
        <w:t>the City’s evidence</w:t>
      </w:r>
      <w:r w:rsidR="000578FF" w:rsidRPr="00EC24F7">
        <w:rPr>
          <w:rFonts w:cs="Arial"/>
          <w:lang w:val="en-GB"/>
        </w:rPr>
        <w:t>.</w:t>
      </w:r>
      <w:r w:rsidR="00D213A8" w:rsidRPr="00EC24F7">
        <w:rPr>
          <w:rFonts w:cs="Arial"/>
          <w:lang w:val="en-GB"/>
        </w:rPr>
        <w:t xml:space="preserve">  </w:t>
      </w:r>
      <w:r w:rsidR="0029247A" w:rsidRPr="00EC24F7">
        <w:rPr>
          <w:rFonts w:cs="Arial"/>
          <w:lang w:val="en-GB"/>
        </w:rPr>
        <w:t xml:space="preserve">The City </w:t>
      </w:r>
      <w:r w:rsidR="00D213A8" w:rsidRPr="00EC24F7">
        <w:rPr>
          <w:rFonts w:cs="Arial"/>
          <w:lang w:val="en-GB"/>
        </w:rPr>
        <w:t xml:space="preserve">has </w:t>
      </w:r>
      <w:r w:rsidR="0029247A" w:rsidRPr="00EC24F7">
        <w:rPr>
          <w:rFonts w:cs="Arial"/>
          <w:lang w:val="en-GB"/>
        </w:rPr>
        <w:t xml:space="preserve">put up facts </w:t>
      </w:r>
      <w:r w:rsidR="00AE2FF7" w:rsidRPr="00EC24F7">
        <w:rPr>
          <w:rFonts w:cs="Arial"/>
          <w:lang w:val="en-GB"/>
        </w:rPr>
        <w:t xml:space="preserve">which it contends demonstrate that on a balance of probabilities, </w:t>
      </w:r>
      <w:r w:rsidR="00FC417D" w:rsidRPr="00EC24F7">
        <w:rPr>
          <w:rFonts w:cs="Arial"/>
          <w:lang w:val="en-GB"/>
        </w:rPr>
        <w:t>the properties are used as a base for crime</w:t>
      </w:r>
      <w:r w:rsidR="001F694E">
        <w:rPr>
          <w:rFonts w:cs="Arial"/>
          <w:lang w:val="en-GB"/>
        </w:rPr>
        <w:t>. These facts</w:t>
      </w:r>
      <w:r w:rsidR="00FC417D" w:rsidRPr="00EC24F7">
        <w:rPr>
          <w:rFonts w:cs="Arial"/>
          <w:lang w:val="en-GB"/>
        </w:rPr>
        <w:t xml:space="preserve"> </w:t>
      </w:r>
      <w:r w:rsidR="0029247A" w:rsidRPr="00EC24F7">
        <w:rPr>
          <w:rFonts w:cs="Arial"/>
          <w:lang w:val="en-GB"/>
        </w:rPr>
        <w:t xml:space="preserve">have not been </w:t>
      </w:r>
      <w:r w:rsidR="00FC417D" w:rsidRPr="00EC24F7">
        <w:rPr>
          <w:rFonts w:cs="Arial"/>
          <w:lang w:val="en-GB"/>
        </w:rPr>
        <w:t>meaningfully</w:t>
      </w:r>
      <w:r w:rsidR="0029247A" w:rsidRPr="00EC24F7">
        <w:rPr>
          <w:rFonts w:cs="Arial"/>
          <w:lang w:val="en-GB"/>
        </w:rPr>
        <w:t xml:space="preserve"> disputed by Transnet or the </w:t>
      </w:r>
      <w:r w:rsidR="00FC417D" w:rsidRPr="00EC24F7">
        <w:rPr>
          <w:rFonts w:cs="Arial"/>
          <w:lang w:val="en-GB"/>
        </w:rPr>
        <w:t>unlawful occupiers</w:t>
      </w:r>
      <w:r w:rsidR="0029247A" w:rsidRPr="00EC24F7">
        <w:rPr>
          <w:rFonts w:cs="Arial"/>
          <w:lang w:val="en-GB"/>
        </w:rPr>
        <w:t xml:space="preserve">. </w:t>
      </w:r>
      <w:r w:rsidR="00FC417D" w:rsidRPr="00EC24F7">
        <w:rPr>
          <w:rFonts w:cs="Arial"/>
          <w:lang w:val="en-GB"/>
        </w:rPr>
        <w:t xml:space="preserve"> </w:t>
      </w:r>
      <w:r w:rsidR="0038681F" w:rsidRPr="00EC24F7">
        <w:rPr>
          <w:rFonts w:cs="Arial"/>
          <w:lang w:val="en-GB"/>
        </w:rPr>
        <w:t>T</w:t>
      </w:r>
      <w:r w:rsidR="003D6A4C" w:rsidRPr="00EC24F7">
        <w:rPr>
          <w:rFonts w:cs="Arial"/>
          <w:lang w:val="en-GB"/>
        </w:rPr>
        <w:t xml:space="preserve">he City </w:t>
      </w:r>
      <w:r w:rsidR="00BD5950" w:rsidRPr="00EC24F7">
        <w:rPr>
          <w:rFonts w:cs="Arial"/>
          <w:lang w:val="en-GB"/>
        </w:rPr>
        <w:t xml:space="preserve">has </w:t>
      </w:r>
      <w:r w:rsidR="00C355A8" w:rsidRPr="00EC24F7">
        <w:rPr>
          <w:rFonts w:cs="Arial"/>
          <w:lang w:val="en-GB"/>
        </w:rPr>
        <w:t xml:space="preserve">provided a detailed </w:t>
      </w:r>
      <w:r w:rsidR="00F105D3" w:rsidRPr="00EC24F7">
        <w:rPr>
          <w:rFonts w:cs="Arial"/>
          <w:lang w:val="en-GB"/>
        </w:rPr>
        <w:t>factual basis for</w:t>
      </w:r>
      <w:r w:rsidR="00C355A8" w:rsidRPr="00EC24F7">
        <w:rPr>
          <w:rFonts w:cs="Arial"/>
          <w:lang w:val="en-GB"/>
        </w:rPr>
        <w:t xml:space="preserve"> why </w:t>
      </w:r>
      <w:r w:rsidR="0038681F" w:rsidRPr="00EC24F7">
        <w:rPr>
          <w:rFonts w:cs="Arial"/>
          <w:lang w:val="en-GB"/>
        </w:rPr>
        <w:t>it contends that the most</w:t>
      </w:r>
      <w:r w:rsidR="00C355A8" w:rsidRPr="00EC24F7">
        <w:rPr>
          <w:rFonts w:cs="Arial"/>
          <w:lang w:val="en-GB"/>
        </w:rPr>
        <w:t xml:space="preserve"> </w:t>
      </w:r>
      <w:r w:rsidR="0038681F" w:rsidRPr="00EC24F7">
        <w:rPr>
          <w:rFonts w:cs="Arial"/>
          <w:lang w:val="en-GB"/>
        </w:rPr>
        <w:t>plausible</w:t>
      </w:r>
      <w:r w:rsidR="0019220A" w:rsidRPr="00EC24F7">
        <w:rPr>
          <w:rStyle w:val="FootnoteReference"/>
          <w:rFonts w:cs="Arial"/>
          <w:lang w:val="en-GB"/>
        </w:rPr>
        <w:footnoteReference w:id="32"/>
      </w:r>
      <w:r w:rsidR="0038681F" w:rsidRPr="00EC24F7">
        <w:rPr>
          <w:rFonts w:cs="Arial"/>
          <w:lang w:val="en-GB"/>
        </w:rPr>
        <w:t xml:space="preserve"> and </w:t>
      </w:r>
      <w:r w:rsidR="00C355A8" w:rsidRPr="00EC24F7">
        <w:rPr>
          <w:rFonts w:cs="Arial"/>
          <w:lang w:val="en-GB"/>
        </w:rPr>
        <w:t xml:space="preserve">reasonable inference </w:t>
      </w:r>
      <w:r w:rsidR="0038681F" w:rsidRPr="00EC24F7">
        <w:rPr>
          <w:rFonts w:cs="Arial"/>
          <w:lang w:val="en-GB"/>
        </w:rPr>
        <w:t xml:space="preserve">to be drawn from </w:t>
      </w:r>
      <w:r w:rsidR="00F105D3" w:rsidRPr="00EC24F7">
        <w:rPr>
          <w:rFonts w:cs="Arial"/>
          <w:lang w:val="en-GB"/>
        </w:rPr>
        <w:t>these</w:t>
      </w:r>
      <w:r w:rsidR="0038681F" w:rsidRPr="00EC24F7">
        <w:rPr>
          <w:rFonts w:cs="Arial"/>
          <w:lang w:val="en-GB"/>
        </w:rPr>
        <w:t xml:space="preserve"> facts is </w:t>
      </w:r>
      <w:r w:rsidR="00C355A8" w:rsidRPr="00EC24F7">
        <w:rPr>
          <w:rFonts w:cs="Arial"/>
          <w:lang w:val="en-GB"/>
        </w:rPr>
        <w:t xml:space="preserve">that </w:t>
      </w:r>
      <w:r w:rsidR="00EE05BF" w:rsidRPr="00EC24F7">
        <w:rPr>
          <w:rFonts w:cs="Arial"/>
          <w:lang w:val="en-GB"/>
        </w:rPr>
        <w:t xml:space="preserve">the unlawful occupation of the properties provides a base for criminal activities. </w:t>
      </w:r>
    </w:p>
    <w:p w14:paraId="652703E7" w14:textId="604F9344" w:rsidR="0038681F" w:rsidRPr="00EC24F7" w:rsidRDefault="00F105D3" w:rsidP="00F84FFF">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rPr>
        <w:lastRenderedPageBreak/>
        <w:t>O</w:t>
      </w:r>
      <w:r w:rsidR="0038681F" w:rsidRPr="00EC24F7">
        <w:rPr>
          <w:rFonts w:cs="Arial"/>
        </w:rPr>
        <w:t>n the basis of the well-established rules governing evidence in application proceedings</w:t>
      </w:r>
      <w:r w:rsidRPr="00EC24F7">
        <w:rPr>
          <w:rFonts w:cs="Arial"/>
        </w:rPr>
        <w:t>, the City’s version must be accepted and indeed cannot be rejected</w:t>
      </w:r>
      <w:r w:rsidR="0038681F" w:rsidRPr="00EC24F7">
        <w:rPr>
          <w:rFonts w:cs="Arial"/>
        </w:rPr>
        <w:t xml:space="preserve">. </w:t>
      </w:r>
      <w:r w:rsidR="00C807D3" w:rsidRPr="00EC24F7">
        <w:rPr>
          <w:rFonts w:cs="Arial"/>
        </w:rPr>
        <w:t xml:space="preserve"> </w:t>
      </w:r>
      <w:r w:rsidR="00C807D3" w:rsidRPr="00EC24F7">
        <w:rPr>
          <w:rFonts w:cs="Arial"/>
          <w:color w:val="000000"/>
          <w:lang w:eastAsia="en-ZA"/>
        </w:rPr>
        <w:t>It is trite that</w:t>
      </w:r>
      <w:r w:rsidR="00AA6967">
        <w:rPr>
          <w:rFonts w:cs="Arial"/>
          <w:color w:val="000000"/>
          <w:lang w:eastAsia="en-ZA"/>
        </w:rPr>
        <w:t xml:space="preserve"> </w:t>
      </w:r>
      <w:r w:rsidR="00C807D3" w:rsidRPr="00EC24F7">
        <w:rPr>
          <w:rFonts w:cs="Arial"/>
          <w:color w:val="000000"/>
          <w:lang w:eastAsia="en-ZA"/>
        </w:rPr>
        <w:t xml:space="preserve">in finding facts and making inferences in a civil case, the </w:t>
      </w:r>
      <w:r w:rsidR="00AA6967">
        <w:rPr>
          <w:rFonts w:cs="Arial"/>
          <w:color w:val="000000"/>
          <w:lang w:eastAsia="en-ZA"/>
        </w:rPr>
        <w:t>c</w:t>
      </w:r>
      <w:r w:rsidR="00C807D3" w:rsidRPr="00EC24F7">
        <w:rPr>
          <w:rFonts w:cs="Arial"/>
          <w:color w:val="000000"/>
          <w:lang w:eastAsia="en-ZA"/>
        </w:rPr>
        <w:t>ourt may go on a mere preponderance of probability</w:t>
      </w:r>
      <w:r w:rsidR="00C807D3" w:rsidRPr="00EC24F7">
        <w:rPr>
          <w:rFonts w:cs="Arial"/>
          <w:i/>
          <w:iCs/>
          <w:color w:val="000000"/>
          <w:lang w:eastAsia="en-ZA"/>
        </w:rPr>
        <w:t xml:space="preserve">, </w:t>
      </w:r>
      <w:r w:rsidR="00C807D3" w:rsidRPr="00EC24F7">
        <w:rPr>
          <w:rFonts w:cs="Arial"/>
          <w:color w:val="000000"/>
          <w:lang w:eastAsia="en-ZA"/>
        </w:rPr>
        <w:t xml:space="preserve">even although </w:t>
      </w:r>
      <w:r w:rsidR="00A62DBA" w:rsidRPr="00EC24F7">
        <w:rPr>
          <w:rFonts w:cs="Arial"/>
          <w:color w:val="000000"/>
          <w:lang w:eastAsia="en-ZA"/>
        </w:rPr>
        <w:t>in</w:t>
      </w:r>
      <w:r w:rsidR="001B5BF3" w:rsidRPr="00EC24F7">
        <w:rPr>
          <w:rFonts w:cs="Arial"/>
          <w:color w:val="000000"/>
          <w:lang w:eastAsia="en-ZA"/>
        </w:rPr>
        <w:t xml:space="preserve"> </w:t>
      </w:r>
      <w:r w:rsidR="00C807D3" w:rsidRPr="00EC24F7">
        <w:rPr>
          <w:rFonts w:cs="Arial"/>
          <w:color w:val="000000"/>
          <w:lang w:eastAsia="en-ZA"/>
        </w:rPr>
        <w:t xml:space="preserve">so doing </w:t>
      </w:r>
      <w:r w:rsidR="001B5BF3" w:rsidRPr="00EC24F7">
        <w:rPr>
          <w:rFonts w:cs="Arial"/>
          <w:color w:val="000000"/>
          <w:lang w:eastAsia="en-ZA"/>
        </w:rPr>
        <w:t xml:space="preserve">it </w:t>
      </w:r>
      <w:r w:rsidR="00C807D3" w:rsidRPr="00EC24F7">
        <w:rPr>
          <w:rFonts w:cs="Arial"/>
          <w:color w:val="000000"/>
          <w:lang w:eastAsia="en-ZA"/>
        </w:rPr>
        <w:t xml:space="preserve">does not exclude every reasonable doubt, so that one may, by balancing probabilities select a conclusion which seems to be the more natural, or plausible, conclusion from amongst several conceivable ones, even though that conclusion </w:t>
      </w:r>
      <w:r w:rsidR="001B5BF3" w:rsidRPr="00EC24F7">
        <w:rPr>
          <w:rFonts w:cs="Arial"/>
          <w:color w:val="000000"/>
          <w:lang w:eastAsia="en-ZA"/>
        </w:rPr>
        <w:t>is</w:t>
      </w:r>
      <w:r w:rsidR="00C807D3" w:rsidRPr="00EC24F7">
        <w:rPr>
          <w:rFonts w:cs="Arial"/>
          <w:color w:val="000000"/>
          <w:lang w:eastAsia="en-ZA"/>
        </w:rPr>
        <w:t xml:space="preserve"> not the only reasonable one.</w:t>
      </w:r>
      <w:r w:rsidR="00C807D3" w:rsidRPr="00EC24F7">
        <w:rPr>
          <w:rStyle w:val="FootnoteReference"/>
          <w:rFonts w:cs="Arial"/>
          <w:color w:val="000000"/>
          <w:lang w:eastAsia="en-ZA"/>
        </w:rPr>
        <w:footnoteReference w:id="33"/>
      </w:r>
      <w:r w:rsidR="00C807D3" w:rsidRPr="00EC24F7">
        <w:rPr>
          <w:rFonts w:cs="Arial"/>
          <w:color w:val="000000"/>
          <w:lang w:eastAsia="en-ZA"/>
        </w:rPr>
        <w:t xml:space="preserve">  </w:t>
      </w:r>
      <w:r w:rsidR="001B5BF3" w:rsidRPr="00EC24F7">
        <w:rPr>
          <w:rFonts w:cs="Arial"/>
        </w:rPr>
        <w:t>Thus,</w:t>
      </w:r>
      <w:r w:rsidR="0038681F" w:rsidRPr="00EC24F7">
        <w:rPr>
          <w:rFonts w:cs="Arial"/>
        </w:rPr>
        <w:t xml:space="preserve"> an inference may be drawn where the inference advanced is the most readily apparent and acceptable inference from a number of possible inferences</w:t>
      </w:r>
      <w:r w:rsidR="00D64C0D" w:rsidRPr="00EC24F7">
        <w:rPr>
          <w:rFonts w:cs="Arial"/>
        </w:rPr>
        <w:t>.</w:t>
      </w:r>
      <w:r w:rsidR="0038681F" w:rsidRPr="00EC24F7">
        <w:rPr>
          <w:rStyle w:val="FootnoteReference"/>
          <w:rFonts w:cs="Arial"/>
        </w:rPr>
        <w:footnoteReference w:id="34"/>
      </w:r>
      <w:r w:rsidR="006C1E98" w:rsidRPr="00EC24F7">
        <w:rPr>
          <w:rFonts w:cs="Arial"/>
        </w:rPr>
        <w:t xml:space="preserve">  </w:t>
      </w:r>
      <w:r w:rsidR="00495B8A" w:rsidRPr="00EC24F7">
        <w:rPr>
          <w:rFonts w:cs="Arial"/>
        </w:rPr>
        <w:t xml:space="preserve">If the facts permit of more than one inference, the </w:t>
      </w:r>
      <w:r w:rsidR="002D70E9">
        <w:rPr>
          <w:rFonts w:cs="Arial"/>
        </w:rPr>
        <w:t>c</w:t>
      </w:r>
      <w:r w:rsidR="00495B8A" w:rsidRPr="00EC24F7">
        <w:rPr>
          <w:rFonts w:cs="Arial"/>
        </w:rPr>
        <w:t>ourt must select the most plausible or probable inference.</w:t>
      </w:r>
      <w:r w:rsidR="00B96DA9" w:rsidRPr="00EC24F7">
        <w:rPr>
          <w:rStyle w:val="FootnoteReference"/>
          <w:rFonts w:cs="Arial"/>
        </w:rPr>
        <w:footnoteReference w:id="35"/>
      </w:r>
      <w:r w:rsidR="00495B8A" w:rsidRPr="00EC24F7">
        <w:rPr>
          <w:rFonts w:cs="Arial"/>
        </w:rPr>
        <w:t xml:space="preserve"> </w:t>
      </w:r>
      <w:r w:rsidR="00BC72A7" w:rsidRPr="00EC24F7">
        <w:rPr>
          <w:rFonts w:cs="Arial"/>
        </w:rPr>
        <w:t xml:space="preserve">  </w:t>
      </w:r>
    </w:p>
    <w:p w14:paraId="5DA167F0" w14:textId="0A7ED5FB" w:rsidR="00F03ACC" w:rsidRPr="00EC24F7" w:rsidRDefault="00316822" w:rsidP="007B3082">
      <w:pPr>
        <w:numPr>
          <w:ilvl w:val="0"/>
          <w:numId w:val="2"/>
        </w:numPr>
        <w:snapToGrid w:val="0"/>
        <w:spacing w:before="120" w:after="360" w:line="480" w:lineRule="auto"/>
        <w:jc w:val="both"/>
        <w:rPr>
          <w:rFonts w:cs="Arial"/>
          <w:lang w:val="en-GB"/>
        </w:rPr>
      </w:pPr>
      <w:r w:rsidRPr="00EC24F7">
        <w:rPr>
          <w:rFonts w:cs="Arial"/>
          <w:lang w:val="en-GB"/>
        </w:rPr>
        <w:t>T</w:t>
      </w:r>
      <w:r w:rsidR="00665220" w:rsidRPr="00EC24F7">
        <w:rPr>
          <w:rFonts w:cs="Arial"/>
          <w:lang w:val="en-GB"/>
        </w:rPr>
        <w:t xml:space="preserve">he City contends that </w:t>
      </w:r>
      <w:r w:rsidR="00C616DA" w:rsidRPr="00EC24F7">
        <w:rPr>
          <w:rFonts w:cs="Arial"/>
          <w:color w:val="000000" w:themeColor="text1"/>
          <w:lang w:val="en-GB"/>
        </w:rPr>
        <w:t>based on the information available to it, the unlawful occupation of the properties cannot reasonably be said to have been driven by the need for residential shelter close to economic opportunities</w:t>
      </w:r>
      <w:r w:rsidR="00E30ADE" w:rsidRPr="00EC24F7">
        <w:rPr>
          <w:rFonts w:cs="Arial"/>
          <w:color w:val="000000" w:themeColor="text1"/>
          <w:lang w:val="en-GB"/>
        </w:rPr>
        <w:t>, but</w:t>
      </w:r>
      <w:r w:rsidR="00C616DA" w:rsidRPr="00EC24F7">
        <w:rPr>
          <w:rFonts w:cs="Arial"/>
          <w:color w:val="000000" w:themeColor="text1"/>
          <w:lang w:val="en-GB"/>
        </w:rPr>
        <w:t xml:space="preserve"> </w:t>
      </w:r>
      <w:r w:rsidR="00E30ADE" w:rsidRPr="00EC24F7">
        <w:rPr>
          <w:rFonts w:cs="Arial"/>
          <w:color w:val="000000" w:themeColor="text1"/>
          <w:lang w:val="en-GB"/>
        </w:rPr>
        <w:t>r</w:t>
      </w:r>
      <w:r w:rsidR="00C616DA" w:rsidRPr="00EC24F7">
        <w:rPr>
          <w:rFonts w:cs="Arial"/>
          <w:color w:val="000000" w:themeColor="text1"/>
          <w:lang w:val="en-GB"/>
        </w:rPr>
        <w:t>ather</w:t>
      </w:r>
      <w:r w:rsidR="00092E24" w:rsidRPr="00EC24F7">
        <w:rPr>
          <w:rFonts w:cs="Arial"/>
          <w:color w:val="000000" w:themeColor="text1"/>
          <w:lang w:val="en-GB"/>
        </w:rPr>
        <w:t xml:space="preserve"> in light of </w:t>
      </w:r>
      <w:r w:rsidR="00BE0308" w:rsidRPr="00EC24F7">
        <w:rPr>
          <w:rFonts w:cs="Arial"/>
          <w:color w:val="000000" w:themeColor="text1"/>
          <w:lang w:val="en-GB"/>
        </w:rPr>
        <w:t>the frequency of documented criminal activities in the immediate (1km) vicinity of the properties</w:t>
      </w:r>
      <w:r w:rsidR="00E808D6">
        <w:rPr>
          <w:rFonts w:cs="Arial"/>
          <w:color w:val="000000" w:themeColor="text1"/>
          <w:lang w:val="en-GB"/>
        </w:rPr>
        <w:t>,</w:t>
      </w:r>
      <w:r w:rsidR="00C616DA" w:rsidRPr="00EC24F7">
        <w:rPr>
          <w:rFonts w:cs="Arial"/>
          <w:color w:val="000000" w:themeColor="text1"/>
          <w:lang w:val="en-GB"/>
        </w:rPr>
        <w:t xml:space="preserve"> the unlawful occupation of the properties appears to be driven by an attempt to create a base for opportunistic criminal activity specifically targeting road users and nearby infrastructure.</w:t>
      </w:r>
      <w:r w:rsidR="00E00EE3" w:rsidRPr="00EC24F7">
        <w:rPr>
          <w:rStyle w:val="FootnoteReference"/>
          <w:rFonts w:cs="Arial"/>
          <w:color w:val="000000" w:themeColor="text1"/>
          <w:lang w:val="en-GB"/>
        </w:rPr>
        <w:footnoteReference w:id="36"/>
      </w:r>
      <w:r w:rsidR="00C616DA" w:rsidRPr="00EC24F7">
        <w:rPr>
          <w:rFonts w:cs="Arial"/>
          <w:color w:val="000000" w:themeColor="text1"/>
          <w:lang w:val="en-GB"/>
        </w:rPr>
        <w:t xml:space="preserve"> More so</w:t>
      </w:r>
      <w:r w:rsidR="002C7F44" w:rsidRPr="00EC24F7">
        <w:rPr>
          <w:rFonts w:cs="Arial"/>
          <w:color w:val="000000" w:themeColor="text1"/>
          <w:lang w:val="en-GB"/>
        </w:rPr>
        <w:t>,</w:t>
      </w:r>
      <w:r w:rsidR="00C616DA" w:rsidRPr="00EC24F7">
        <w:rPr>
          <w:rFonts w:cs="Arial"/>
          <w:color w:val="000000" w:themeColor="text1"/>
          <w:lang w:val="en-GB"/>
        </w:rPr>
        <w:t xml:space="preserve"> given the dearth of informal economic opportunities in the immediate vicinity of the properties.</w:t>
      </w:r>
      <w:r w:rsidR="00C616DA" w:rsidRPr="00EC24F7">
        <w:rPr>
          <w:rStyle w:val="FootnoteReference"/>
          <w:rFonts w:cs="Arial"/>
          <w:color w:val="000000" w:themeColor="text1"/>
          <w:lang w:val="en-GB"/>
        </w:rPr>
        <w:footnoteReference w:id="37"/>
      </w:r>
      <w:r w:rsidR="00BD5950" w:rsidRPr="00EC24F7">
        <w:rPr>
          <w:rFonts w:cs="Arial"/>
          <w:lang w:val="en-GB"/>
        </w:rPr>
        <w:t xml:space="preserve">  </w:t>
      </w:r>
    </w:p>
    <w:p w14:paraId="070B395D" w14:textId="6893CA44" w:rsidR="002C702C" w:rsidRPr="00EC24F7" w:rsidRDefault="00CF0A3B" w:rsidP="007B3082">
      <w:pPr>
        <w:numPr>
          <w:ilvl w:val="0"/>
          <w:numId w:val="2"/>
        </w:numPr>
        <w:snapToGrid w:val="0"/>
        <w:spacing w:before="120" w:after="360" w:line="480" w:lineRule="auto"/>
        <w:jc w:val="both"/>
        <w:rPr>
          <w:rFonts w:cs="Arial"/>
          <w:lang w:val="en-GB"/>
        </w:rPr>
      </w:pPr>
      <w:r w:rsidRPr="00EC24F7">
        <w:rPr>
          <w:rFonts w:cs="Arial"/>
          <w:lang w:val="en-GB"/>
        </w:rPr>
        <w:lastRenderedPageBreak/>
        <w:t xml:space="preserve">If regard is had to the City’s specific </w:t>
      </w:r>
      <w:r w:rsidR="00AA364E" w:rsidRPr="00EC24F7">
        <w:rPr>
          <w:rFonts w:cs="Arial"/>
          <w:lang w:val="en-GB"/>
        </w:rPr>
        <w:t xml:space="preserve">factual </w:t>
      </w:r>
      <w:r w:rsidRPr="00EC24F7">
        <w:rPr>
          <w:rFonts w:cs="Arial"/>
          <w:lang w:val="en-GB"/>
        </w:rPr>
        <w:t>averments</w:t>
      </w:r>
      <w:r w:rsidR="008E0E30" w:rsidRPr="00EC24F7">
        <w:rPr>
          <w:rFonts w:cs="Arial"/>
          <w:lang w:val="en-GB"/>
        </w:rPr>
        <w:t>,</w:t>
      </w:r>
      <w:r w:rsidR="00DA185A" w:rsidRPr="00EC24F7">
        <w:rPr>
          <w:rStyle w:val="FootnoteReference"/>
          <w:rFonts w:cs="Arial"/>
          <w:lang w:val="en-GB"/>
        </w:rPr>
        <w:footnoteReference w:id="38"/>
      </w:r>
      <w:r w:rsidRPr="00EC24F7">
        <w:rPr>
          <w:rFonts w:cs="Arial"/>
          <w:lang w:val="en-GB"/>
        </w:rPr>
        <w:t xml:space="preserve"> as compared to the paucity of </w:t>
      </w:r>
      <w:r w:rsidR="0066014E" w:rsidRPr="00EC24F7">
        <w:rPr>
          <w:rFonts w:cs="Arial"/>
          <w:lang w:val="en-GB"/>
        </w:rPr>
        <w:t>the response</w:t>
      </w:r>
      <w:r w:rsidRPr="00EC24F7">
        <w:rPr>
          <w:rFonts w:cs="Arial"/>
          <w:lang w:val="en-GB"/>
        </w:rPr>
        <w:t>s</w:t>
      </w:r>
      <w:r w:rsidR="0066014E" w:rsidRPr="00EC24F7">
        <w:rPr>
          <w:rFonts w:cs="Arial"/>
          <w:lang w:val="en-GB"/>
        </w:rPr>
        <w:t xml:space="preserve"> by the </w:t>
      </w:r>
      <w:r w:rsidR="007B3082" w:rsidRPr="00EC24F7">
        <w:rPr>
          <w:rFonts w:cs="Arial"/>
          <w:lang w:val="en-GB"/>
        </w:rPr>
        <w:t>unlawful</w:t>
      </w:r>
      <w:r w:rsidR="0066014E" w:rsidRPr="00EC24F7">
        <w:rPr>
          <w:rFonts w:cs="Arial"/>
          <w:lang w:val="en-GB"/>
        </w:rPr>
        <w:t xml:space="preserve"> occupiers</w:t>
      </w:r>
      <w:r w:rsidR="005316BF" w:rsidRPr="00EC24F7">
        <w:rPr>
          <w:rStyle w:val="FootnoteReference"/>
          <w:rFonts w:cs="Arial"/>
          <w:lang w:val="en-GB"/>
        </w:rPr>
        <w:footnoteReference w:id="39"/>
      </w:r>
      <w:r w:rsidR="0066014E" w:rsidRPr="00EC24F7">
        <w:rPr>
          <w:rFonts w:cs="Arial"/>
          <w:lang w:val="en-GB"/>
        </w:rPr>
        <w:t xml:space="preserve"> and Transnet</w:t>
      </w:r>
      <w:r w:rsidR="00EC76C7" w:rsidRPr="00EC24F7">
        <w:rPr>
          <w:rStyle w:val="FootnoteReference"/>
          <w:rFonts w:cs="Arial"/>
          <w:lang w:val="en-GB"/>
        </w:rPr>
        <w:footnoteReference w:id="40"/>
      </w:r>
      <w:r w:rsidRPr="00EC24F7">
        <w:rPr>
          <w:rFonts w:cs="Arial"/>
          <w:lang w:val="en-GB"/>
        </w:rPr>
        <w:t xml:space="preserve"> </w:t>
      </w:r>
      <w:r w:rsidR="002C702C" w:rsidRPr="00EC24F7">
        <w:rPr>
          <w:rFonts w:cs="Arial"/>
          <w:lang w:val="en-GB"/>
        </w:rPr>
        <w:t>it is clear that there is no basis on which the City’s version falls to be rejected and the City’s version must be accepted on a balance of probabilities.</w:t>
      </w:r>
    </w:p>
    <w:p w14:paraId="7A6CCBF4" w14:textId="34016734" w:rsidR="00CA20A1" w:rsidRPr="00EC24F7" w:rsidRDefault="00251698" w:rsidP="00896321">
      <w:pPr>
        <w:numPr>
          <w:ilvl w:val="0"/>
          <w:numId w:val="2"/>
        </w:numPr>
        <w:snapToGrid w:val="0"/>
        <w:spacing w:before="120" w:after="360" w:line="480" w:lineRule="auto"/>
        <w:jc w:val="both"/>
        <w:rPr>
          <w:rFonts w:cs="Arial"/>
          <w:lang w:val="en-GB"/>
        </w:rPr>
      </w:pPr>
      <w:r w:rsidRPr="00EC24F7">
        <w:rPr>
          <w:rFonts w:cs="Arial"/>
          <w:lang w:val="en-GB"/>
        </w:rPr>
        <w:t>T</w:t>
      </w:r>
      <w:r w:rsidR="00571FE5" w:rsidRPr="00EC24F7">
        <w:rPr>
          <w:rFonts w:cs="Arial"/>
          <w:lang w:val="en-GB"/>
        </w:rPr>
        <w:t>he City’s Safety and Security Statistics</w:t>
      </w:r>
      <w:r w:rsidR="007634D9" w:rsidRPr="00EC24F7">
        <w:rPr>
          <w:rFonts w:cs="Arial"/>
          <w:lang w:val="en-GB"/>
        </w:rPr>
        <w:t xml:space="preserve"> demonstrate that </w:t>
      </w:r>
      <w:r w:rsidR="0072600F" w:rsidRPr="00EC24F7">
        <w:rPr>
          <w:rFonts w:cs="Arial"/>
          <w:lang w:val="en-GB"/>
        </w:rPr>
        <w:t xml:space="preserve">in the </w:t>
      </w:r>
      <w:r w:rsidR="00FD63AC" w:rsidRPr="00EC24F7">
        <w:rPr>
          <w:rFonts w:cs="Arial"/>
          <w:lang w:val="en-GB"/>
        </w:rPr>
        <w:t xml:space="preserve">eight-month </w:t>
      </w:r>
      <w:r w:rsidR="0072600F" w:rsidRPr="00EC24F7">
        <w:rPr>
          <w:rFonts w:cs="Arial"/>
          <w:lang w:val="en-GB"/>
        </w:rPr>
        <w:t>period between September</w:t>
      </w:r>
      <w:r w:rsidR="0072600F" w:rsidRPr="00EC24F7">
        <w:rPr>
          <w:rFonts w:cs="Arial"/>
          <w:color w:val="000000"/>
          <w:lang w:val="en-GB"/>
        </w:rPr>
        <w:t> 2024 and May 2025</w:t>
      </w:r>
      <w:r w:rsidR="00566E04" w:rsidRPr="00EC24F7">
        <w:rPr>
          <w:rFonts w:cs="Arial"/>
          <w:color w:val="000000"/>
          <w:lang w:val="en-GB"/>
        </w:rPr>
        <w:t xml:space="preserve"> there </w:t>
      </w:r>
      <w:r w:rsidR="00FC7ED3">
        <w:rPr>
          <w:rFonts w:cs="Arial"/>
          <w:color w:val="000000"/>
          <w:lang w:val="en-GB"/>
        </w:rPr>
        <w:t xml:space="preserve">were </w:t>
      </w:r>
      <w:r w:rsidR="00566E04" w:rsidRPr="00EC24F7">
        <w:rPr>
          <w:rFonts w:cs="Arial"/>
          <w:color w:val="000000"/>
          <w:lang w:val="en-GB"/>
        </w:rPr>
        <w:t>74 in</w:t>
      </w:r>
      <w:r w:rsidR="007B1908" w:rsidRPr="00EC24F7">
        <w:rPr>
          <w:rFonts w:cs="Arial"/>
          <w:color w:val="000000"/>
          <w:lang w:val="en-GB"/>
        </w:rPr>
        <w:t>cidents</w:t>
      </w:r>
      <w:r w:rsidR="00566E04" w:rsidRPr="00EC24F7">
        <w:rPr>
          <w:rFonts w:cs="Arial"/>
          <w:color w:val="000000"/>
          <w:lang w:val="en-GB"/>
        </w:rPr>
        <w:t xml:space="preserve"> of common robbery; 20</w:t>
      </w:r>
      <w:r w:rsidR="007B1908" w:rsidRPr="00EC24F7">
        <w:rPr>
          <w:rFonts w:cs="Arial"/>
          <w:color w:val="000000"/>
          <w:lang w:val="en-GB"/>
        </w:rPr>
        <w:t> </w:t>
      </w:r>
      <w:r w:rsidR="00566E04" w:rsidRPr="00EC24F7">
        <w:rPr>
          <w:rFonts w:cs="Arial"/>
          <w:color w:val="000000"/>
          <w:lang w:val="en-GB"/>
        </w:rPr>
        <w:t>in</w:t>
      </w:r>
      <w:r w:rsidR="007B1908" w:rsidRPr="00EC24F7">
        <w:rPr>
          <w:rFonts w:cs="Arial"/>
          <w:color w:val="000000"/>
          <w:lang w:val="en-GB"/>
        </w:rPr>
        <w:t>cidents</w:t>
      </w:r>
      <w:r w:rsidR="00566E04" w:rsidRPr="00EC24F7">
        <w:rPr>
          <w:rFonts w:cs="Arial"/>
          <w:color w:val="000000"/>
          <w:lang w:val="en-GB"/>
        </w:rPr>
        <w:t xml:space="preserve"> of robbery with a weapon or instrument other than a firearm</w:t>
      </w:r>
      <w:r w:rsidR="007B1908" w:rsidRPr="00EC24F7">
        <w:rPr>
          <w:rStyle w:val="FootnoteReference"/>
          <w:rFonts w:cs="Arial"/>
          <w:lang w:val="en-GB"/>
        </w:rPr>
        <w:t xml:space="preserve">; </w:t>
      </w:r>
      <w:r w:rsidR="007B1908" w:rsidRPr="00EC24F7">
        <w:rPr>
          <w:rFonts w:cs="Arial"/>
          <w:color w:val="000000"/>
          <w:lang w:val="en-GB"/>
        </w:rPr>
        <w:t>7 incidents of robbery with a firearm;</w:t>
      </w:r>
      <w:r w:rsidR="00067108" w:rsidRPr="00EC24F7">
        <w:rPr>
          <w:rFonts w:cs="Arial"/>
          <w:color w:val="000000"/>
          <w:lang w:val="en-GB"/>
        </w:rPr>
        <w:t xml:space="preserve"> and one incident of </w:t>
      </w:r>
      <w:r w:rsidR="00A2008A" w:rsidRPr="00EC24F7">
        <w:rPr>
          <w:rFonts w:cs="Arial"/>
          <w:color w:val="000000"/>
          <w:lang w:val="en-GB"/>
        </w:rPr>
        <w:t>vehicle hijacking</w:t>
      </w:r>
      <w:r w:rsidR="00FD63AC" w:rsidRPr="00EC24F7">
        <w:rPr>
          <w:rFonts w:cs="Arial"/>
          <w:color w:val="000000"/>
          <w:lang w:val="en-GB"/>
        </w:rPr>
        <w:t xml:space="preserve">, all of which took place </w:t>
      </w:r>
      <w:r w:rsidR="00833C02" w:rsidRPr="00EC24F7">
        <w:rPr>
          <w:rFonts w:cs="Arial"/>
          <w:color w:val="000000"/>
          <w:lang w:val="en-GB"/>
        </w:rPr>
        <w:t>in the immediate vicinity of the properties.</w:t>
      </w:r>
      <w:r w:rsidR="00031D96" w:rsidRPr="00EC24F7">
        <w:rPr>
          <w:rStyle w:val="FootnoteReference"/>
          <w:rFonts w:cs="Arial"/>
          <w:color w:val="000000"/>
          <w:lang w:val="en-GB"/>
        </w:rPr>
        <w:footnoteReference w:id="41"/>
      </w:r>
      <w:r w:rsidR="007E294E" w:rsidRPr="00EC24F7">
        <w:rPr>
          <w:rFonts w:cs="Arial"/>
          <w:lang w:val="en-GB"/>
        </w:rPr>
        <w:t xml:space="preserve">  </w:t>
      </w:r>
      <w:r w:rsidR="00CA20A1" w:rsidRPr="00EC24F7">
        <w:rPr>
          <w:rFonts w:cs="Arial"/>
          <w:color w:val="000000"/>
          <w:lang w:val="en-GB"/>
        </w:rPr>
        <w:t>The City’s freeway management system captured footage in the period from February</w:t>
      </w:r>
      <w:r w:rsidR="00FC7ED3">
        <w:rPr>
          <w:rFonts w:cs="Arial"/>
          <w:color w:val="000000"/>
          <w:lang w:val="en-GB"/>
        </w:rPr>
        <w:t> </w:t>
      </w:r>
      <w:r w:rsidR="00CA20A1" w:rsidRPr="00EC24F7">
        <w:rPr>
          <w:rFonts w:cs="Arial"/>
          <w:color w:val="000000"/>
          <w:lang w:val="en-GB"/>
        </w:rPr>
        <w:t>2022 to May</w:t>
      </w:r>
      <w:r w:rsidR="00FC7ED3">
        <w:rPr>
          <w:rFonts w:cs="Arial"/>
          <w:color w:val="000000"/>
          <w:lang w:val="en-GB"/>
        </w:rPr>
        <w:t> </w:t>
      </w:r>
      <w:r w:rsidR="00CA20A1" w:rsidRPr="00EC24F7">
        <w:rPr>
          <w:rFonts w:cs="Arial"/>
          <w:color w:val="000000"/>
          <w:lang w:val="en-GB"/>
        </w:rPr>
        <w:t>2025 of two incidents of cable theft; five robberies and one car break-in on the stretch of the N1 highway adjacent to the properties.</w:t>
      </w:r>
      <w:r w:rsidR="00CA20A1" w:rsidRPr="00EC24F7">
        <w:rPr>
          <w:rStyle w:val="FootnoteReference"/>
          <w:rFonts w:cs="Arial"/>
          <w:color w:val="000000"/>
          <w:lang w:val="en-GB"/>
        </w:rPr>
        <w:footnoteReference w:id="42"/>
      </w:r>
    </w:p>
    <w:p w14:paraId="15FFD777" w14:textId="73B29919" w:rsidR="004E2AD6" w:rsidRPr="00EC24F7" w:rsidRDefault="004E2AD6" w:rsidP="001A72B6">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 xml:space="preserve">In </w:t>
      </w:r>
      <w:r w:rsidR="005D7F90" w:rsidRPr="00EC24F7">
        <w:rPr>
          <w:rFonts w:cs="Arial"/>
          <w:color w:val="000000"/>
          <w:lang w:val="en-GB"/>
        </w:rPr>
        <w:t>the</w:t>
      </w:r>
      <w:r w:rsidR="00F438D5" w:rsidRPr="00EC24F7">
        <w:rPr>
          <w:rFonts w:cs="Arial"/>
          <w:color w:val="000000"/>
          <w:lang w:val="en-GB"/>
        </w:rPr>
        <w:t xml:space="preserve"> one month</w:t>
      </w:r>
      <w:r w:rsidRPr="00EC24F7">
        <w:rPr>
          <w:rFonts w:cs="Arial"/>
          <w:color w:val="000000"/>
          <w:lang w:val="en-GB"/>
        </w:rPr>
        <w:t xml:space="preserve"> period </w:t>
      </w:r>
      <w:r w:rsidR="00F438D5" w:rsidRPr="00EC24F7">
        <w:rPr>
          <w:rFonts w:cs="Arial"/>
          <w:color w:val="000000"/>
          <w:lang w:val="en-GB"/>
        </w:rPr>
        <w:t xml:space="preserve">between </w:t>
      </w:r>
      <w:r w:rsidRPr="00EC24F7">
        <w:rPr>
          <w:rFonts w:cs="Arial"/>
          <w:color w:val="000000"/>
          <w:lang w:val="en-GB"/>
        </w:rPr>
        <w:t xml:space="preserve">December 2025 </w:t>
      </w:r>
      <w:r w:rsidR="00F438D5" w:rsidRPr="00EC24F7">
        <w:rPr>
          <w:rFonts w:cs="Arial"/>
          <w:color w:val="000000"/>
          <w:lang w:val="en-GB"/>
        </w:rPr>
        <w:t xml:space="preserve">and </w:t>
      </w:r>
      <w:r w:rsidRPr="00EC24F7">
        <w:rPr>
          <w:rFonts w:cs="Arial"/>
          <w:color w:val="000000"/>
          <w:lang w:val="en-GB"/>
        </w:rPr>
        <w:t xml:space="preserve">January 2026 City Law Enforcement attended to </w:t>
      </w:r>
      <w:r w:rsidR="00373877" w:rsidRPr="00EC24F7">
        <w:rPr>
          <w:rFonts w:cs="Arial"/>
          <w:color w:val="000000"/>
          <w:lang w:val="en-GB"/>
        </w:rPr>
        <w:t xml:space="preserve">various </w:t>
      </w:r>
      <w:r w:rsidRPr="00EC24F7">
        <w:rPr>
          <w:rFonts w:cs="Arial"/>
          <w:color w:val="000000"/>
          <w:lang w:val="en-GB"/>
        </w:rPr>
        <w:t>incidents</w:t>
      </w:r>
      <w:r w:rsidR="001A72B6" w:rsidRPr="00EC24F7">
        <w:rPr>
          <w:rFonts w:cs="Arial"/>
          <w:color w:val="000000"/>
          <w:lang w:val="en-GB"/>
        </w:rPr>
        <w:t xml:space="preserve"> which took place within 700m of the properties</w:t>
      </w:r>
      <w:r w:rsidRPr="00EC24F7">
        <w:rPr>
          <w:rFonts w:cs="Arial"/>
          <w:color w:val="000000"/>
          <w:lang w:val="en-GB"/>
        </w:rPr>
        <w:t xml:space="preserve"> involving motorists using the section of the N1 </w:t>
      </w:r>
      <w:r w:rsidR="00F438D5" w:rsidRPr="00EC24F7">
        <w:rPr>
          <w:rFonts w:cs="Arial"/>
          <w:color w:val="000000"/>
          <w:lang w:val="en-GB"/>
        </w:rPr>
        <w:t xml:space="preserve">including </w:t>
      </w:r>
      <w:r w:rsidR="00F44CEF" w:rsidRPr="00EC24F7">
        <w:rPr>
          <w:rFonts w:cs="Arial"/>
          <w:color w:val="000000"/>
          <w:lang w:val="en-GB"/>
        </w:rPr>
        <w:t>seven incidents of</w:t>
      </w:r>
      <w:r w:rsidR="00F438D5" w:rsidRPr="00EC24F7">
        <w:rPr>
          <w:rFonts w:cs="Arial"/>
          <w:color w:val="000000"/>
          <w:lang w:val="en-GB"/>
        </w:rPr>
        <w:t xml:space="preserve"> vehicle</w:t>
      </w:r>
      <w:r w:rsidR="00F44CEF" w:rsidRPr="00EC24F7">
        <w:rPr>
          <w:rFonts w:cs="Arial"/>
          <w:color w:val="000000"/>
          <w:lang w:val="en-GB"/>
        </w:rPr>
        <w:t>s</w:t>
      </w:r>
      <w:r w:rsidR="00F438D5" w:rsidRPr="00EC24F7">
        <w:rPr>
          <w:rFonts w:cs="Arial"/>
          <w:color w:val="000000"/>
          <w:lang w:val="en-GB"/>
        </w:rPr>
        <w:t xml:space="preserve"> travelling on the N1 being attacked with brick</w:t>
      </w:r>
      <w:r w:rsidR="00373877" w:rsidRPr="00EC24F7">
        <w:rPr>
          <w:rFonts w:cs="Arial"/>
          <w:color w:val="000000"/>
          <w:lang w:val="en-GB"/>
        </w:rPr>
        <w:t>s, sustaining</w:t>
      </w:r>
      <w:r w:rsidR="00F438D5" w:rsidRPr="00EC24F7">
        <w:rPr>
          <w:rFonts w:cs="Arial"/>
          <w:color w:val="000000"/>
          <w:lang w:val="en-GB"/>
        </w:rPr>
        <w:t xml:space="preserve"> damag</w:t>
      </w:r>
      <w:r w:rsidR="00373877" w:rsidRPr="00EC24F7">
        <w:rPr>
          <w:rFonts w:cs="Arial"/>
          <w:color w:val="000000"/>
          <w:lang w:val="en-GB"/>
        </w:rPr>
        <w:t>e to</w:t>
      </w:r>
      <w:r w:rsidR="00F438D5" w:rsidRPr="00EC24F7">
        <w:rPr>
          <w:rFonts w:cs="Arial"/>
          <w:color w:val="000000"/>
          <w:lang w:val="en-GB"/>
        </w:rPr>
        <w:t xml:space="preserve"> window</w:t>
      </w:r>
      <w:r w:rsidR="00373877" w:rsidRPr="00EC24F7">
        <w:rPr>
          <w:rFonts w:cs="Arial"/>
          <w:color w:val="000000"/>
          <w:lang w:val="en-GB"/>
        </w:rPr>
        <w:t>s</w:t>
      </w:r>
      <w:r w:rsidR="00235A53" w:rsidRPr="00EC24F7">
        <w:rPr>
          <w:rFonts w:cs="Arial"/>
          <w:color w:val="000000"/>
          <w:lang w:val="en-GB"/>
        </w:rPr>
        <w:t xml:space="preserve"> and </w:t>
      </w:r>
      <w:r w:rsidR="009335AA" w:rsidRPr="00EC24F7">
        <w:rPr>
          <w:rFonts w:cs="Arial"/>
          <w:color w:val="000000"/>
          <w:lang w:val="en-GB"/>
        </w:rPr>
        <w:t>their undercarriages</w:t>
      </w:r>
      <w:r w:rsidR="001A72B6" w:rsidRPr="00EC24F7">
        <w:rPr>
          <w:rFonts w:cs="Arial"/>
          <w:color w:val="000000"/>
          <w:lang w:val="en-GB"/>
        </w:rPr>
        <w:t xml:space="preserve"> and</w:t>
      </w:r>
      <w:r w:rsidR="00F438D5" w:rsidRPr="00EC24F7">
        <w:rPr>
          <w:rFonts w:cs="Arial"/>
          <w:color w:val="000000"/>
          <w:lang w:val="en-GB"/>
        </w:rPr>
        <w:t xml:space="preserve"> a disabled couple travelling in a vehicle on the N1 being attacked and robbed</w:t>
      </w:r>
      <w:r w:rsidR="004608E3" w:rsidRPr="00EC24F7">
        <w:rPr>
          <w:rFonts w:cs="Arial"/>
          <w:color w:val="000000"/>
          <w:lang w:val="en-GB"/>
        </w:rPr>
        <w:t xml:space="preserve"> and</w:t>
      </w:r>
      <w:r w:rsidR="00F438D5" w:rsidRPr="00EC24F7">
        <w:rPr>
          <w:rFonts w:cs="Arial"/>
          <w:color w:val="000000"/>
          <w:lang w:val="en-GB"/>
        </w:rPr>
        <w:t xml:space="preserve"> their vehicle’s windows damaged and their </w:t>
      </w:r>
      <w:r w:rsidR="001B51D2" w:rsidRPr="00EC24F7">
        <w:rPr>
          <w:rFonts w:cs="Arial"/>
          <w:color w:val="000000"/>
          <w:lang w:val="en-GB"/>
        </w:rPr>
        <w:t>cell phone</w:t>
      </w:r>
      <w:r w:rsidR="00F438D5" w:rsidRPr="00EC24F7">
        <w:rPr>
          <w:rFonts w:cs="Arial"/>
          <w:color w:val="000000"/>
          <w:lang w:val="en-GB"/>
        </w:rPr>
        <w:t xml:space="preserve"> stolen</w:t>
      </w:r>
      <w:r w:rsidR="001A72B6" w:rsidRPr="00EC24F7">
        <w:rPr>
          <w:rFonts w:cs="Arial"/>
          <w:color w:val="000000"/>
          <w:lang w:val="en-GB"/>
        </w:rPr>
        <w:t>.</w:t>
      </w:r>
      <w:r w:rsidR="009371D0" w:rsidRPr="00EC24F7">
        <w:rPr>
          <w:rStyle w:val="FootnoteReference"/>
          <w:rFonts w:cs="Arial"/>
          <w:color w:val="000000"/>
          <w:lang w:val="en-GB"/>
        </w:rPr>
        <w:footnoteReference w:id="43"/>
      </w:r>
    </w:p>
    <w:p w14:paraId="6A935306" w14:textId="238AB2A6" w:rsidR="00B337B8" w:rsidRPr="00EC24F7" w:rsidRDefault="00833C02" w:rsidP="00170763">
      <w:pPr>
        <w:numPr>
          <w:ilvl w:val="0"/>
          <w:numId w:val="2"/>
        </w:numPr>
        <w:snapToGrid w:val="0"/>
        <w:spacing w:before="120" w:after="360" w:line="480" w:lineRule="auto"/>
        <w:jc w:val="both"/>
        <w:rPr>
          <w:rFonts w:cs="Arial"/>
          <w:lang w:val="en-GB"/>
        </w:rPr>
      </w:pPr>
      <w:r w:rsidRPr="00EC24F7">
        <w:rPr>
          <w:rFonts w:cs="Arial"/>
          <w:color w:val="000000"/>
          <w:lang w:val="en-GB"/>
        </w:rPr>
        <w:t xml:space="preserve">The </w:t>
      </w:r>
      <w:r w:rsidR="00B337B8" w:rsidRPr="00EC24F7">
        <w:rPr>
          <w:rFonts w:cs="Arial"/>
          <w:color w:val="000000" w:themeColor="text1"/>
          <w:lang w:val="en-GB"/>
        </w:rPr>
        <w:t>S</w:t>
      </w:r>
      <w:r w:rsidRPr="00EC24F7">
        <w:rPr>
          <w:rFonts w:cs="Arial"/>
          <w:color w:val="000000" w:themeColor="text1"/>
          <w:lang w:val="en-GB"/>
        </w:rPr>
        <w:t xml:space="preserve">outh </w:t>
      </w:r>
      <w:r w:rsidR="00B337B8" w:rsidRPr="00EC24F7">
        <w:rPr>
          <w:rFonts w:cs="Arial"/>
          <w:color w:val="000000" w:themeColor="text1"/>
          <w:lang w:val="en-GB"/>
        </w:rPr>
        <w:t>A</w:t>
      </w:r>
      <w:r w:rsidRPr="00EC24F7">
        <w:rPr>
          <w:rFonts w:cs="Arial"/>
          <w:color w:val="000000" w:themeColor="text1"/>
          <w:lang w:val="en-GB"/>
        </w:rPr>
        <w:t xml:space="preserve">frican </w:t>
      </w:r>
      <w:r w:rsidR="00B337B8" w:rsidRPr="00EC24F7">
        <w:rPr>
          <w:rFonts w:cs="Arial"/>
          <w:color w:val="000000" w:themeColor="text1"/>
          <w:lang w:val="en-GB"/>
        </w:rPr>
        <w:t>P</w:t>
      </w:r>
      <w:r w:rsidRPr="00EC24F7">
        <w:rPr>
          <w:rFonts w:cs="Arial"/>
          <w:color w:val="000000" w:themeColor="text1"/>
          <w:lang w:val="en-GB"/>
        </w:rPr>
        <w:t xml:space="preserve">olice </w:t>
      </w:r>
      <w:r w:rsidR="00B337B8" w:rsidRPr="00EC24F7">
        <w:rPr>
          <w:rFonts w:cs="Arial"/>
          <w:color w:val="000000" w:themeColor="text1"/>
          <w:lang w:val="en-GB"/>
        </w:rPr>
        <w:t>S</w:t>
      </w:r>
      <w:r w:rsidRPr="00EC24F7">
        <w:rPr>
          <w:rFonts w:cs="Arial"/>
          <w:color w:val="000000" w:themeColor="text1"/>
          <w:lang w:val="en-GB"/>
        </w:rPr>
        <w:t>ervices (‘SAPS’)</w:t>
      </w:r>
      <w:r w:rsidR="00B337B8" w:rsidRPr="00EC24F7">
        <w:rPr>
          <w:rFonts w:cs="Arial"/>
          <w:color w:val="000000" w:themeColor="text1"/>
          <w:lang w:val="en-GB"/>
        </w:rPr>
        <w:t xml:space="preserve"> statistics </w:t>
      </w:r>
      <w:r w:rsidRPr="00EC24F7">
        <w:rPr>
          <w:rFonts w:cs="Arial"/>
          <w:color w:val="000000" w:themeColor="text1"/>
          <w:lang w:val="en-GB"/>
        </w:rPr>
        <w:t>demonstrate</w:t>
      </w:r>
      <w:r w:rsidR="00B337B8" w:rsidRPr="00EC24F7">
        <w:rPr>
          <w:rFonts w:cs="Arial"/>
          <w:color w:val="000000" w:themeColor="text1"/>
          <w:lang w:val="en-GB"/>
        </w:rPr>
        <w:t xml:space="preserve"> </w:t>
      </w:r>
      <w:r w:rsidR="00BC1152" w:rsidRPr="00EC24F7">
        <w:rPr>
          <w:rFonts w:cs="Arial"/>
          <w:color w:val="000000" w:themeColor="text1"/>
          <w:lang w:val="en-GB"/>
        </w:rPr>
        <w:t xml:space="preserve">that in the </w:t>
      </w:r>
      <w:r w:rsidR="007E294E" w:rsidRPr="00EC24F7">
        <w:rPr>
          <w:rFonts w:cs="Arial"/>
          <w:color w:val="000000" w:themeColor="text1"/>
          <w:lang w:val="en-GB"/>
        </w:rPr>
        <w:t xml:space="preserve">six-month </w:t>
      </w:r>
      <w:r w:rsidR="00BC1152" w:rsidRPr="00EC24F7">
        <w:rPr>
          <w:rFonts w:cs="Arial"/>
          <w:color w:val="000000" w:themeColor="text1"/>
          <w:lang w:val="en-GB"/>
        </w:rPr>
        <w:t xml:space="preserve">period from January 2025 to June 2025, there were </w:t>
      </w:r>
      <w:r w:rsidR="00B337B8" w:rsidRPr="00EC24F7">
        <w:rPr>
          <w:rFonts w:cs="Arial"/>
          <w:color w:val="000000" w:themeColor="text1"/>
          <w:lang w:val="en-GB"/>
        </w:rPr>
        <w:t xml:space="preserve">44 arrests made for </w:t>
      </w:r>
      <w:r w:rsidR="00B337B8" w:rsidRPr="00EC24F7">
        <w:rPr>
          <w:rFonts w:cs="Arial"/>
          <w:color w:val="000000" w:themeColor="text1"/>
          <w:lang w:val="en-GB"/>
        </w:rPr>
        <w:lastRenderedPageBreak/>
        <w:t>criminal activity in the immediate vicinity of the properties.</w:t>
      </w:r>
      <w:r w:rsidR="007E294E" w:rsidRPr="00EC24F7">
        <w:rPr>
          <w:rStyle w:val="FootnoteReference"/>
          <w:rFonts w:cs="Arial"/>
          <w:lang w:val="en-GB"/>
        </w:rPr>
        <w:footnoteReference w:id="44"/>
      </w:r>
      <w:r w:rsidR="00B337B8" w:rsidRPr="00EC24F7">
        <w:rPr>
          <w:rFonts w:cs="Arial"/>
          <w:color w:val="000000" w:themeColor="text1"/>
          <w:lang w:val="en-GB"/>
        </w:rPr>
        <w:t xml:space="preserve">  </w:t>
      </w:r>
      <w:r w:rsidR="00E601DE" w:rsidRPr="00EC24F7">
        <w:rPr>
          <w:rFonts w:cs="Arial"/>
          <w:color w:val="000000" w:themeColor="text1"/>
          <w:lang w:val="en-GB"/>
        </w:rPr>
        <w:t xml:space="preserve">These arrests relate to charges for </w:t>
      </w:r>
      <w:r w:rsidR="00E601DE" w:rsidRPr="00EC24F7">
        <w:rPr>
          <w:rFonts w:cs="Arial"/>
          <w:lang w:val="en-GB"/>
        </w:rPr>
        <w:t>dealing in drugs; possession of drugs; possession of unlicensed firearms; possession of ammunition; possession of a dangerous weapon; riotous behaviour; intimidation; possession of copper wire; assault GBH; possession of stolen vehicle</w:t>
      </w:r>
      <w:r w:rsidR="00170763" w:rsidRPr="00EC24F7">
        <w:rPr>
          <w:rFonts w:cs="Arial"/>
          <w:lang w:val="en-GB"/>
        </w:rPr>
        <w:t>s</w:t>
      </w:r>
      <w:r w:rsidR="00E601DE" w:rsidRPr="00EC24F7">
        <w:rPr>
          <w:rFonts w:cs="Arial"/>
          <w:lang w:val="en-GB"/>
        </w:rPr>
        <w:t xml:space="preserve">; robbery; possession of house breaking implements; </w:t>
      </w:r>
      <w:r w:rsidR="00B337B8" w:rsidRPr="00EC24F7">
        <w:rPr>
          <w:rFonts w:cs="Arial"/>
          <w:lang w:val="en-GB"/>
        </w:rPr>
        <w:t>resisting arrest</w:t>
      </w:r>
      <w:r w:rsidR="00BC1152" w:rsidRPr="00EC24F7">
        <w:rPr>
          <w:rFonts w:cs="Arial"/>
          <w:lang w:val="en-GB"/>
        </w:rPr>
        <w:t xml:space="preserve">; </w:t>
      </w:r>
      <w:r w:rsidR="00B337B8" w:rsidRPr="00EC24F7">
        <w:rPr>
          <w:rFonts w:cs="Arial"/>
          <w:lang w:val="en-GB"/>
        </w:rPr>
        <w:t>defeating the ends of justice</w:t>
      </w:r>
      <w:r w:rsidR="00BC1152" w:rsidRPr="00EC24F7">
        <w:rPr>
          <w:rFonts w:cs="Arial"/>
          <w:lang w:val="en-GB"/>
        </w:rPr>
        <w:t xml:space="preserve">; </w:t>
      </w:r>
      <w:r w:rsidR="00B337B8" w:rsidRPr="00EC24F7">
        <w:rPr>
          <w:rFonts w:cs="Arial"/>
          <w:lang w:val="en-GB"/>
        </w:rPr>
        <w:t xml:space="preserve">driving under the influence </w:t>
      </w:r>
      <w:r w:rsidR="00170763" w:rsidRPr="00EC24F7">
        <w:rPr>
          <w:rFonts w:cs="Arial"/>
          <w:lang w:val="en-GB"/>
        </w:rPr>
        <w:t xml:space="preserve">and </w:t>
      </w:r>
      <w:r w:rsidR="00B337B8" w:rsidRPr="00EC24F7">
        <w:rPr>
          <w:rFonts w:cs="Arial"/>
          <w:lang w:val="en-GB"/>
        </w:rPr>
        <w:t>assault on police officer</w:t>
      </w:r>
      <w:r w:rsidR="00170763" w:rsidRPr="00EC24F7">
        <w:rPr>
          <w:rFonts w:cs="Arial"/>
          <w:lang w:val="en-GB"/>
        </w:rPr>
        <w:t>.</w:t>
      </w:r>
      <w:r w:rsidR="00D97A71" w:rsidRPr="00EC24F7">
        <w:rPr>
          <w:rStyle w:val="FootnoteReference"/>
          <w:rFonts w:cs="Arial"/>
          <w:lang w:val="en-GB"/>
        </w:rPr>
        <w:footnoteReference w:id="45"/>
      </w:r>
    </w:p>
    <w:p w14:paraId="15DE3217" w14:textId="69DD1675" w:rsidR="00B337B8" w:rsidRPr="00EC24F7" w:rsidRDefault="007C152C" w:rsidP="00160281">
      <w:pPr>
        <w:numPr>
          <w:ilvl w:val="0"/>
          <w:numId w:val="2"/>
        </w:numPr>
        <w:snapToGrid w:val="0"/>
        <w:spacing w:before="120" w:after="360" w:line="480" w:lineRule="auto"/>
        <w:jc w:val="both"/>
        <w:rPr>
          <w:rFonts w:cs="Arial"/>
          <w:lang w:val="en-GB"/>
        </w:rPr>
      </w:pPr>
      <w:r w:rsidRPr="00EC24F7">
        <w:rPr>
          <w:rFonts w:cs="Arial"/>
          <w:lang w:val="en-GB"/>
        </w:rPr>
        <w:t xml:space="preserve">The SAPS statistics for the </w:t>
      </w:r>
      <w:r w:rsidR="00816C80" w:rsidRPr="00EC24F7">
        <w:rPr>
          <w:rFonts w:cs="Arial"/>
          <w:lang w:val="en-GB"/>
        </w:rPr>
        <w:t xml:space="preserve">eight-month period from </w:t>
      </w:r>
      <w:r w:rsidR="00816C80" w:rsidRPr="00EC24F7">
        <w:rPr>
          <w:rFonts w:cs="Arial"/>
          <w:color w:val="000000"/>
          <w:lang w:val="en-GB"/>
        </w:rPr>
        <w:t>September 2024 to May 2025,</w:t>
      </w:r>
      <w:r w:rsidR="007B41A9">
        <w:rPr>
          <w:rFonts w:cs="Arial"/>
          <w:color w:val="000000"/>
          <w:lang w:val="en-GB"/>
        </w:rPr>
        <w:t xml:space="preserve"> demonstrate that</w:t>
      </w:r>
      <w:r w:rsidR="00816C80" w:rsidRPr="00EC24F7">
        <w:rPr>
          <w:rFonts w:cs="Arial"/>
          <w:color w:val="000000"/>
          <w:lang w:val="en-GB"/>
        </w:rPr>
        <w:t xml:space="preserve"> there were </w:t>
      </w:r>
      <w:r w:rsidR="00B337B8" w:rsidRPr="00EC24F7">
        <w:rPr>
          <w:rFonts w:cs="Arial"/>
          <w:color w:val="000000"/>
          <w:lang w:val="en-GB"/>
        </w:rPr>
        <w:t>101 incidents of attacks on cyclists all of which took place in close proximity to the properties, in particular on Lower Church Street, Railway Street, and Beach Road.</w:t>
      </w:r>
      <w:r w:rsidR="00C73BD8" w:rsidRPr="00EC24F7">
        <w:rPr>
          <w:rStyle w:val="FootnoteReference"/>
          <w:rFonts w:cs="Arial"/>
          <w:color w:val="000000"/>
          <w:lang w:val="en-GB"/>
        </w:rPr>
        <w:footnoteReference w:id="46"/>
      </w:r>
      <w:r w:rsidR="0049249A" w:rsidRPr="00EC24F7">
        <w:rPr>
          <w:rFonts w:cs="Arial"/>
          <w:color w:val="000000"/>
          <w:lang w:val="en-GB"/>
        </w:rPr>
        <w:t xml:space="preserve"> </w:t>
      </w:r>
      <w:r w:rsidR="00905311" w:rsidRPr="00EC24F7">
        <w:rPr>
          <w:rFonts w:cs="Arial"/>
          <w:color w:val="000000"/>
          <w:lang w:val="en-GB"/>
        </w:rPr>
        <w:t xml:space="preserve"> </w:t>
      </w:r>
      <w:r w:rsidR="00160281" w:rsidRPr="00EC24F7">
        <w:rPr>
          <w:rFonts w:cs="Arial"/>
          <w:color w:val="000000"/>
          <w:lang w:val="en-GB"/>
        </w:rPr>
        <w:t xml:space="preserve">These incidents include </w:t>
      </w:r>
      <w:r w:rsidR="00B337B8" w:rsidRPr="00EC24F7">
        <w:rPr>
          <w:rFonts w:cs="Arial"/>
          <w:color w:val="000000"/>
          <w:lang w:val="en-GB"/>
        </w:rPr>
        <w:t>74 incidents of common robbery of cyclists</w:t>
      </w:r>
      <w:r w:rsidR="00160281" w:rsidRPr="00EC24F7">
        <w:rPr>
          <w:rFonts w:cs="Arial"/>
          <w:color w:val="000000"/>
          <w:lang w:val="en-GB"/>
        </w:rPr>
        <w:t xml:space="preserve">; </w:t>
      </w:r>
      <w:r w:rsidR="00B337B8" w:rsidRPr="00EC24F7">
        <w:rPr>
          <w:rFonts w:cs="Arial"/>
          <w:color w:val="000000"/>
          <w:lang w:val="en-GB"/>
        </w:rPr>
        <w:t>20 incidents of robbery with a weapon or instrument other than a firearm of cyclists</w:t>
      </w:r>
      <w:r w:rsidR="00160281" w:rsidRPr="00EC24F7">
        <w:rPr>
          <w:rFonts w:cs="Arial"/>
          <w:color w:val="000000"/>
          <w:lang w:val="en-GB"/>
        </w:rPr>
        <w:t xml:space="preserve">; </w:t>
      </w:r>
      <w:r w:rsidR="00160281" w:rsidRPr="00EC24F7">
        <w:rPr>
          <w:rFonts w:cs="Arial"/>
          <w:lang w:val="en-GB"/>
        </w:rPr>
        <w:t xml:space="preserve">and seven </w:t>
      </w:r>
      <w:r w:rsidR="00B337B8" w:rsidRPr="00EC24F7">
        <w:rPr>
          <w:rFonts w:cs="Arial"/>
          <w:color w:val="000000"/>
          <w:lang w:val="en-GB"/>
        </w:rPr>
        <w:t>incidents of robbery with a firearm of cyclists.</w:t>
      </w:r>
      <w:r w:rsidR="00160281" w:rsidRPr="00EC24F7">
        <w:rPr>
          <w:rStyle w:val="FootnoteReference"/>
          <w:rFonts w:cs="Arial"/>
          <w:color w:val="000000"/>
          <w:lang w:val="en-GB"/>
        </w:rPr>
        <w:footnoteReference w:id="47"/>
      </w:r>
    </w:p>
    <w:p w14:paraId="07B081F0" w14:textId="1EE194E9" w:rsidR="001277A1" w:rsidRPr="00EC24F7" w:rsidRDefault="00614A98" w:rsidP="001277A1">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In addition</w:t>
      </w:r>
      <w:r w:rsidR="00A2008A" w:rsidRPr="00EC24F7">
        <w:rPr>
          <w:rFonts w:cs="Arial"/>
          <w:color w:val="000000"/>
          <w:lang w:val="en-GB"/>
        </w:rPr>
        <w:t>,</w:t>
      </w:r>
      <w:r w:rsidR="00160281" w:rsidRPr="00EC24F7">
        <w:rPr>
          <w:rFonts w:cs="Arial"/>
          <w:color w:val="000000"/>
          <w:lang w:val="en-GB"/>
        </w:rPr>
        <w:t xml:space="preserve"> </w:t>
      </w:r>
      <w:r w:rsidRPr="00EC24F7">
        <w:rPr>
          <w:rFonts w:cs="Arial"/>
          <w:color w:val="000000"/>
          <w:lang w:val="en-GB"/>
        </w:rPr>
        <w:t xml:space="preserve">on 19 July 2025 a cyclist using the cycling route located in close proximity to the properties was attacked and robbed of his </w:t>
      </w:r>
      <w:r w:rsidR="001B51D2">
        <w:rPr>
          <w:rFonts w:cs="Arial"/>
          <w:color w:val="000000"/>
          <w:lang w:val="en-GB"/>
        </w:rPr>
        <w:t>cell</w:t>
      </w:r>
      <w:r w:rsidR="001B51D2" w:rsidRPr="00EC24F7">
        <w:rPr>
          <w:rFonts w:cs="Arial"/>
          <w:color w:val="000000"/>
          <w:lang w:val="en-GB"/>
        </w:rPr>
        <w:t xml:space="preserve"> phone</w:t>
      </w:r>
      <w:r w:rsidRPr="00EC24F7">
        <w:rPr>
          <w:rFonts w:cs="Arial"/>
          <w:color w:val="000000"/>
          <w:lang w:val="en-GB"/>
        </w:rPr>
        <w:t xml:space="preserve"> and on 28 July 2025 an elderly cyclist was attacked with a bottle and robbed of his </w:t>
      </w:r>
      <w:r w:rsidR="001B51D2" w:rsidRPr="00EC24F7">
        <w:rPr>
          <w:rFonts w:cs="Arial"/>
          <w:color w:val="000000"/>
          <w:lang w:val="en-GB"/>
        </w:rPr>
        <w:t>cell phone</w:t>
      </w:r>
      <w:r w:rsidR="00980949" w:rsidRPr="00EC24F7">
        <w:rPr>
          <w:rFonts w:cs="Arial"/>
          <w:color w:val="000000"/>
          <w:lang w:val="en-GB"/>
        </w:rPr>
        <w:t xml:space="preserve">, </w:t>
      </w:r>
      <w:r w:rsidRPr="00EC24F7">
        <w:rPr>
          <w:rFonts w:cs="Arial"/>
          <w:color w:val="000000"/>
          <w:lang w:val="en-GB"/>
        </w:rPr>
        <w:t>sustain</w:t>
      </w:r>
      <w:r w:rsidR="00980949" w:rsidRPr="00EC24F7">
        <w:rPr>
          <w:rFonts w:cs="Arial"/>
          <w:color w:val="000000"/>
          <w:lang w:val="en-GB"/>
        </w:rPr>
        <w:t>ing</w:t>
      </w:r>
      <w:r w:rsidRPr="00EC24F7">
        <w:rPr>
          <w:rFonts w:cs="Arial"/>
          <w:color w:val="000000"/>
          <w:lang w:val="en-GB"/>
        </w:rPr>
        <w:t xml:space="preserve"> fractures and multiple injuries and ultimately succumb</w:t>
      </w:r>
      <w:r w:rsidR="00980949" w:rsidRPr="00EC24F7">
        <w:rPr>
          <w:rFonts w:cs="Arial"/>
          <w:color w:val="000000"/>
          <w:lang w:val="en-GB"/>
        </w:rPr>
        <w:t>ing</w:t>
      </w:r>
      <w:r w:rsidRPr="00EC24F7">
        <w:rPr>
          <w:rFonts w:cs="Arial"/>
          <w:color w:val="000000"/>
          <w:lang w:val="en-GB"/>
        </w:rPr>
        <w:t xml:space="preserve"> to his injuries.</w:t>
      </w:r>
      <w:r w:rsidRPr="00EC24F7">
        <w:rPr>
          <w:rStyle w:val="FootnoteReference"/>
          <w:rFonts w:cs="Arial"/>
          <w:color w:val="000000"/>
          <w:lang w:val="en-GB"/>
        </w:rPr>
        <w:footnoteReference w:id="48"/>
      </w:r>
      <w:r w:rsidRPr="00EC24F7">
        <w:rPr>
          <w:rFonts w:cs="Arial"/>
          <w:color w:val="000000"/>
          <w:lang w:val="en-GB"/>
        </w:rPr>
        <w:t xml:space="preserve"> </w:t>
      </w:r>
    </w:p>
    <w:p w14:paraId="6919455B" w14:textId="1B88E371" w:rsidR="00B337B8" w:rsidRPr="00EC24F7" w:rsidRDefault="00D67B94" w:rsidP="00DA4678">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There have also been numerous incidents of motorists being attacked and robbed on the stretch of the N1 in close proximity of the properties.</w:t>
      </w:r>
      <w:r w:rsidRPr="00EC24F7">
        <w:rPr>
          <w:rStyle w:val="FootnoteReference"/>
          <w:rFonts w:cs="Arial"/>
          <w:color w:val="000000"/>
          <w:lang w:val="en-GB"/>
        </w:rPr>
        <w:footnoteReference w:id="49"/>
      </w:r>
      <w:r w:rsidRPr="00EC24F7">
        <w:rPr>
          <w:rFonts w:cs="Arial"/>
          <w:color w:val="000000"/>
          <w:lang w:val="en-GB"/>
        </w:rPr>
        <w:t xml:space="preserve"> </w:t>
      </w:r>
      <w:r w:rsidR="001277A1" w:rsidRPr="00EC24F7">
        <w:rPr>
          <w:rFonts w:cs="Arial"/>
          <w:color w:val="000000"/>
          <w:lang w:val="en-GB"/>
        </w:rPr>
        <w:t>On 5</w:t>
      </w:r>
      <w:r w:rsidR="00BD30DC" w:rsidRPr="00EC24F7">
        <w:rPr>
          <w:rFonts w:cs="Arial"/>
          <w:color w:val="000000"/>
          <w:lang w:val="en-GB"/>
        </w:rPr>
        <w:t> </w:t>
      </w:r>
      <w:r w:rsidR="001277A1" w:rsidRPr="00EC24F7">
        <w:rPr>
          <w:rFonts w:cs="Arial"/>
          <w:color w:val="000000"/>
          <w:lang w:val="en-GB"/>
        </w:rPr>
        <w:t>June</w:t>
      </w:r>
      <w:r w:rsidR="00BD30DC" w:rsidRPr="00EC24F7">
        <w:rPr>
          <w:rFonts w:cs="Arial"/>
          <w:color w:val="000000"/>
          <w:lang w:val="en-GB"/>
        </w:rPr>
        <w:t> </w:t>
      </w:r>
      <w:r w:rsidR="001277A1" w:rsidRPr="00EC24F7">
        <w:rPr>
          <w:rFonts w:cs="Arial"/>
          <w:color w:val="000000"/>
          <w:lang w:val="en-GB"/>
        </w:rPr>
        <w:t xml:space="preserve">2025, </w:t>
      </w:r>
      <w:r w:rsidR="001277A1" w:rsidRPr="00EC24F7">
        <w:rPr>
          <w:rFonts w:cs="Arial"/>
          <w:color w:val="000000"/>
          <w:lang w:val="en-GB"/>
        </w:rPr>
        <w:lastRenderedPageBreak/>
        <w:t xml:space="preserve">the City Councillor for Ward 57 came across an attempted robbery while driving on Lower Church Street </w:t>
      </w:r>
      <w:r w:rsidR="00BD30DC" w:rsidRPr="00EC24F7">
        <w:rPr>
          <w:rFonts w:cs="Arial"/>
          <w:color w:val="000000"/>
          <w:lang w:val="en-GB"/>
        </w:rPr>
        <w:t xml:space="preserve">where </w:t>
      </w:r>
      <w:r w:rsidR="001277A1" w:rsidRPr="00EC24F7">
        <w:rPr>
          <w:rFonts w:cs="Arial"/>
          <w:color w:val="000000"/>
          <w:lang w:val="en-GB"/>
        </w:rPr>
        <w:t>an individual jump</w:t>
      </w:r>
      <w:r w:rsidR="00BD30DC" w:rsidRPr="00EC24F7">
        <w:rPr>
          <w:rFonts w:cs="Arial"/>
          <w:color w:val="000000"/>
          <w:lang w:val="en-GB"/>
        </w:rPr>
        <w:t>ed</w:t>
      </w:r>
      <w:r w:rsidR="001277A1" w:rsidRPr="00EC24F7">
        <w:rPr>
          <w:rFonts w:cs="Arial"/>
          <w:color w:val="000000"/>
          <w:lang w:val="en-GB"/>
        </w:rPr>
        <w:t xml:space="preserve"> in front of a bakkie on Lower Church Street to stop the driver</w:t>
      </w:r>
      <w:r w:rsidR="00BD30DC" w:rsidRPr="00EC24F7">
        <w:rPr>
          <w:rFonts w:cs="Arial"/>
          <w:color w:val="000000"/>
          <w:lang w:val="en-GB"/>
        </w:rPr>
        <w:t xml:space="preserve"> and</w:t>
      </w:r>
      <w:r w:rsidR="001277A1" w:rsidRPr="00EC24F7">
        <w:rPr>
          <w:rFonts w:cs="Arial"/>
          <w:color w:val="000000"/>
          <w:lang w:val="en-GB"/>
        </w:rPr>
        <w:t xml:space="preserve"> group of some 20 to 30 persons armed with knives then emerged and surrounded the vehicle, threw bricks under the wheels of the bakkie and grabbed the driver’s keys.</w:t>
      </w:r>
      <w:r w:rsidR="00BD30DC" w:rsidRPr="00EC24F7">
        <w:rPr>
          <w:rStyle w:val="FootnoteReference"/>
          <w:rFonts w:cs="Arial"/>
          <w:color w:val="000000"/>
          <w:lang w:val="en-GB"/>
        </w:rPr>
        <w:footnoteReference w:id="50"/>
      </w:r>
      <w:r w:rsidR="00DA4678" w:rsidRPr="00EC24F7">
        <w:rPr>
          <w:rFonts w:cs="Arial"/>
          <w:color w:val="000000"/>
          <w:lang w:val="en-GB"/>
        </w:rPr>
        <w:t xml:space="preserve">  </w:t>
      </w:r>
      <w:r w:rsidR="00B337B8" w:rsidRPr="00EC24F7">
        <w:rPr>
          <w:rFonts w:cs="Arial"/>
          <w:color w:val="000000"/>
          <w:lang w:val="en-GB"/>
        </w:rPr>
        <w:t xml:space="preserve">On 27 June 2025 a motorist </w:t>
      </w:r>
      <w:r w:rsidR="00B337B8" w:rsidRPr="00EC24F7">
        <w:rPr>
          <w:rFonts w:eastAsiaTheme="minorHAnsi" w:cs="Arial"/>
          <w:color w:val="000000"/>
          <w:lang w:val="en-GB" w:eastAsia="en-US"/>
        </w:rPr>
        <w:t xml:space="preserve">driving on the N1 close to the Church Road bridge in Woodstock lost control of his vehicle and collided with the bridge barriers. When his vehicle came to a </w:t>
      </w:r>
      <w:r w:rsidR="00DD073C" w:rsidRPr="00EC24F7">
        <w:rPr>
          <w:rFonts w:eastAsiaTheme="minorHAnsi" w:cs="Arial"/>
          <w:color w:val="000000"/>
          <w:lang w:val="en-GB" w:eastAsia="en-US"/>
        </w:rPr>
        <w:t>standstill,</w:t>
      </w:r>
      <w:r w:rsidR="00B337B8" w:rsidRPr="00EC24F7">
        <w:rPr>
          <w:rFonts w:eastAsiaTheme="minorHAnsi" w:cs="Arial"/>
          <w:color w:val="000000"/>
          <w:lang w:val="en-GB" w:eastAsia="en-US"/>
        </w:rPr>
        <w:t xml:space="preserve"> he was attacked by four persons who took everything from the </w:t>
      </w:r>
      <w:r w:rsidR="005478B8" w:rsidRPr="00EC24F7">
        <w:rPr>
          <w:rFonts w:eastAsiaTheme="minorHAnsi" w:cs="Arial"/>
          <w:color w:val="000000"/>
          <w:lang w:val="en-GB" w:eastAsia="en-US"/>
        </w:rPr>
        <w:t>vehicle and</w:t>
      </w:r>
      <w:r w:rsidR="00B337B8" w:rsidRPr="00EC24F7">
        <w:rPr>
          <w:rFonts w:eastAsiaTheme="minorHAnsi" w:cs="Arial"/>
          <w:color w:val="000000"/>
          <w:lang w:val="en-GB" w:eastAsia="en-US"/>
        </w:rPr>
        <w:t xml:space="preserve"> grabbed his</w:t>
      </w:r>
      <w:r w:rsidR="00D419FC" w:rsidRPr="00EC24F7">
        <w:rPr>
          <w:rFonts w:eastAsiaTheme="minorHAnsi" w:cs="Arial"/>
          <w:color w:val="000000"/>
          <w:lang w:val="en-GB" w:eastAsia="en-US"/>
        </w:rPr>
        <w:t xml:space="preserve"> </w:t>
      </w:r>
      <w:r w:rsidR="001B51D2">
        <w:rPr>
          <w:rFonts w:eastAsiaTheme="minorHAnsi" w:cs="Arial"/>
          <w:color w:val="000000"/>
          <w:lang w:val="en-GB" w:eastAsia="en-US"/>
        </w:rPr>
        <w:t>cell</w:t>
      </w:r>
      <w:r w:rsidR="001B51D2" w:rsidRPr="00EC24F7">
        <w:rPr>
          <w:rFonts w:eastAsiaTheme="minorHAnsi" w:cs="Arial"/>
          <w:color w:val="000000"/>
          <w:lang w:val="en-GB" w:eastAsia="en-US"/>
        </w:rPr>
        <w:t xml:space="preserve"> phone</w:t>
      </w:r>
      <w:r w:rsidR="00B337B8" w:rsidRPr="00EC24F7">
        <w:rPr>
          <w:rFonts w:eastAsiaTheme="minorHAnsi" w:cs="Arial"/>
          <w:color w:val="000000"/>
          <w:lang w:val="en-GB" w:eastAsia="en-US"/>
        </w:rPr>
        <w:t xml:space="preserve"> which he was using to make a call, out of his hand.</w:t>
      </w:r>
      <w:r w:rsidR="00DA4678" w:rsidRPr="00EC24F7">
        <w:rPr>
          <w:rStyle w:val="FootnoteReference"/>
          <w:rFonts w:cs="Arial"/>
          <w:color w:val="000000"/>
          <w:lang w:val="en-GB"/>
        </w:rPr>
        <w:footnoteReference w:id="51"/>
      </w:r>
      <w:r w:rsidR="00B337B8" w:rsidRPr="00EC24F7">
        <w:rPr>
          <w:rFonts w:eastAsiaTheme="minorHAnsi" w:cs="Arial"/>
          <w:color w:val="000000"/>
          <w:lang w:val="en-GB" w:eastAsia="en-US"/>
        </w:rPr>
        <w:t xml:space="preserve"> </w:t>
      </w:r>
    </w:p>
    <w:p w14:paraId="696FAC8D" w14:textId="06D20D78" w:rsidR="00571FE5" w:rsidRPr="00EC24F7" w:rsidRDefault="00B337B8" w:rsidP="00E90D43">
      <w:pPr>
        <w:numPr>
          <w:ilvl w:val="0"/>
          <w:numId w:val="2"/>
        </w:numPr>
        <w:snapToGrid w:val="0"/>
        <w:spacing w:before="120" w:after="360" w:line="480" w:lineRule="auto"/>
        <w:jc w:val="both"/>
        <w:rPr>
          <w:rFonts w:cs="Arial"/>
          <w:lang w:val="en-GB"/>
        </w:rPr>
      </w:pPr>
      <w:r w:rsidRPr="00EC24F7">
        <w:rPr>
          <w:rFonts w:cs="Arial"/>
          <w:color w:val="000000"/>
          <w:lang w:val="en-GB"/>
        </w:rPr>
        <w:t xml:space="preserve">The City also works closely with Woodstock Improvement District which reported to the City that in the </w:t>
      </w:r>
      <w:r w:rsidR="00D71411" w:rsidRPr="00EC24F7">
        <w:rPr>
          <w:rFonts w:cs="Arial"/>
          <w:color w:val="000000"/>
          <w:lang w:val="en-GB"/>
        </w:rPr>
        <w:t xml:space="preserve">eleven-month </w:t>
      </w:r>
      <w:r w:rsidRPr="00EC24F7">
        <w:rPr>
          <w:rFonts w:cs="Arial"/>
          <w:color w:val="000000"/>
          <w:lang w:val="en-GB"/>
        </w:rPr>
        <w:t xml:space="preserve">period from July 2024 to June 2025 </w:t>
      </w:r>
      <w:r w:rsidR="00BC3DAC" w:rsidRPr="00EC24F7">
        <w:rPr>
          <w:rFonts w:cs="Arial"/>
          <w:color w:val="000000"/>
          <w:lang w:val="en-GB"/>
        </w:rPr>
        <w:t xml:space="preserve">there were 19 </w:t>
      </w:r>
      <w:r w:rsidRPr="00EC24F7">
        <w:rPr>
          <w:rFonts w:cs="Arial"/>
          <w:color w:val="000000"/>
          <w:lang w:val="en-GB"/>
        </w:rPr>
        <w:t xml:space="preserve">incidents </w:t>
      </w:r>
      <w:r w:rsidR="00BC3DAC" w:rsidRPr="00EC24F7">
        <w:rPr>
          <w:rFonts w:cs="Arial"/>
          <w:color w:val="000000"/>
          <w:lang w:val="en-GB"/>
        </w:rPr>
        <w:t>which</w:t>
      </w:r>
      <w:r w:rsidR="000B6860" w:rsidRPr="00EC24F7">
        <w:rPr>
          <w:rFonts w:cs="Arial"/>
          <w:color w:val="000000"/>
          <w:lang w:val="en-GB"/>
        </w:rPr>
        <w:t xml:space="preserve"> occurred in the immediate vicinity of the properties</w:t>
      </w:r>
      <w:r w:rsidR="00BC3DAC" w:rsidRPr="00EC24F7">
        <w:rPr>
          <w:rFonts w:cs="Arial"/>
          <w:color w:val="000000"/>
          <w:lang w:val="en-GB"/>
        </w:rPr>
        <w:t>,</w:t>
      </w:r>
      <w:r w:rsidRPr="00EC24F7">
        <w:rPr>
          <w:rFonts w:cs="Arial"/>
          <w:color w:val="000000"/>
          <w:lang w:val="en-GB"/>
        </w:rPr>
        <w:t xml:space="preserve"> </w:t>
      </w:r>
      <w:r w:rsidR="00BC3DAC" w:rsidRPr="00EC24F7">
        <w:rPr>
          <w:rFonts w:cs="Arial"/>
          <w:color w:val="000000"/>
          <w:lang w:val="en-GB"/>
        </w:rPr>
        <w:t xml:space="preserve">including </w:t>
      </w:r>
      <w:r w:rsidR="00BC754E" w:rsidRPr="00EC24F7">
        <w:rPr>
          <w:rFonts w:cs="Arial"/>
          <w:color w:val="000000"/>
          <w:lang w:val="en-GB"/>
        </w:rPr>
        <w:t>damage to infrastructure</w:t>
      </w:r>
      <w:r w:rsidR="00F51509" w:rsidRPr="00EC24F7">
        <w:rPr>
          <w:rFonts w:cs="Arial"/>
          <w:color w:val="000000"/>
          <w:lang w:val="en-GB"/>
        </w:rPr>
        <w:t>;</w:t>
      </w:r>
      <w:r w:rsidR="00BC754E" w:rsidRPr="00EC24F7">
        <w:rPr>
          <w:rFonts w:cs="Arial"/>
          <w:color w:val="000000"/>
          <w:lang w:val="en-GB"/>
        </w:rPr>
        <w:t xml:space="preserve"> robbery</w:t>
      </w:r>
      <w:r w:rsidR="00AA7400" w:rsidRPr="00EC24F7">
        <w:rPr>
          <w:rFonts w:cs="Arial"/>
          <w:color w:val="000000"/>
          <w:lang w:val="en-GB"/>
        </w:rPr>
        <w:t>;</w:t>
      </w:r>
      <w:r w:rsidR="00BC754E" w:rsidRPr="00EC24F7">
        <w:rPr>
          <w:rFonts w:cs="Arial"/>
          <w:color w:val="000000"/>
          <w:lang w:val="en-GB"/>
        </w:rPr>
        <w:t xml:space="preserve"> break-ins</w:t>
      </w:r>
      <w:r w:rsidR="00AA7400" w:rsidRPr="00EC24F7">
        <w:rPr>
          <w:rFonts w:cs="Arial"/>
          <w:color w:val="000000"/>
          <w:lang w:val="en-GB"/>
        </w:rPr>
        <w:t>;</w:t>
      </w:r>
      <w:r w:rsidR="00AF60E9" w:rsidRPr="00EC24F7">
        <w:rPr>
          <w:rFonts w:cs="Arial"/>
          <w:color w:val="000000"/>
          <w:lang w:val="en-GB"/>
        </w:rPr>
        <w:t xml:space="preserve"> attacks on cyclists;</w:t>
      </w:r>
      <w:r w:rsidR="00BC754E" w:rsidRPr="00EC24F7">
        <w:rPr>
          <w:rFonts w:cs="Arial"/>
          <w:color w:val="000000"/>
          <w:lang w:val="en-GB"/>
        </w:rPr>
        <w:t xml:space="preserve"> possession</w:t>
      </w:r>
      <w:r w:rsidR="001F0D61" w:rsidRPr="00EC24F7">
        <w:rPr>
          <w:rFonts w:cs="Arial"/>
          <w:color w:val="000000"/>
          <w:lang w:val="en-GB"/>
        </w:rPr>
        <w:t xml:space="preserve"> of drugs;</w:t>
      </w:r>
      <w:r w:rsidR="00BC754E" w:rsidRPr="00EC24F7">
        <w:rPr>
          <w:rFonts w:cs="Arial"/>
          <w:color w:val="000000"/>
          <w:lang w:val="en-GB"/>
        </w:rPr>
        <w:t xml:space="preserve"> possession</w:t>
      </w:r>
      <w:r w:rsidR="001F0D61" w:rsidRPr="00EC24F7">
        <w:rPr>
          <w:rFonts w:cs="Arial"/>
          <w:color w:val="000000"/>
          <w:lang w:val="en-GB"/>
        </w:rPr>
        <w:t xml:space="preserve"> of a firearm;</w:t>
      </w:r>
      <w:r w:rsidR="002B1DC0" w:rsidRPr="00EC24F7">
        <w:rPr>
          <w:rFonts w:cs="Arial"/>
          <w:color w:val="000000"/>
          <w:lang w:val="en-GB"/>
        </w:rPr>
        <w:t xml:space="preserve"> possession of a dangerous weapon,</w:t>
      </w:r>
      <w:r w:rsidR="00BC754E" w:rsidRPr="00EC24F7">
        <w:rPr>
          <w:rFonts w:cs="Arial"/>
          <w:color w:val="000000"/>
          <w:lang w:val="en-GB"/>
        </w:rPr>
        <w:t xml:space="preserve"> </w:t>
      </w:r>
      <w:r w:rsidR="002B1DC0" w:rsidRPr="00EC24F7">
        <w:rPr>
          <w:rFonts w:cs="Arial"/>
          <w:color w:val="000000"/>
          <w:lang w:val="en-GB"/>
        </w:rPr>
        <w:t>and theft.</w:t>
      </w:r>
      <w:r w:rsidR="00BC3DAC" w:rsidRPr="00EC24F7">
        <w:rPr>
          <w:rStyle w:val="FootnoteReference"/>
          <w:rFonts w:cs="Arial"/>
          <w:color w:val="000000"/>
          <w:lang w:val="en-GB"/>
        </w:rPr>
        <w:footnoteReference w:id="52"/>
      </w:r>
    </w:p>
    <w:p w14:paraId="08DDCC68" w14:textId="77777777" w:rsidR="00A61FB0" w:rsidRPr="00EC24F7" w:rsidRDefault="00A61FB0" w:rsidP="00A61FB0">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In response to these specific factual averments the unlawful occupiers who are the only persons who could have effectively refuted the City’s contentions content themselves with nothing more than vague generalities and bald denials.</w:t>
      </w:r>
      <w:r w:rsidRPr="00EC24F7">
        <w:rPr>
          <w:rStyle w:val="FootnoteReference"/>
          <w:rFonts w:cs="Arial"/>
          <w:color w:val="000000"/>
          <w:lang w:val="en-GB"/>
        </w:rPr>
        <w:footnoteReference w:id="53"/>
      </w:r>
    </w:p>
    <w:p w14:paraId="64F1AFDE" w14:textId="1DC652DA" w:rsidR="000F2343" w:rsidRPr="00EC24F7" w:rsidRDefault="007D4623" w:rsidP="000F2343">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lang w:val="en-GB"/>
        </w:rPr>
        <w:t xml:space="preserve">It is telling that while Mr Al-Habsy </w:t>
      </w:r>
      <w:r w:rsidR="0016060F" w:rsidRPr="00EC24F7">
        <w:rPr>
          <w:rFonts w:cs="Arial"/>
          <w:lang w:val="en-GB"/>
        </w:rPr>
        <w:t xml:space="preserve">purportedly on behalf of all the unlawful occupiers </w:t>
      </w:r>
      <w:r w:rsidRPr="00EC24F7">
        <w:rPr>
          <w:rFonts w:cs="Arial"/>
          <w:lang w:val="en-GB"/>
        </w:rPr>
        <w:t xml:space="preserve">seeks to </w:t>
      </w:r>
      <w:r w:rsidR="0016060F" w:rsidRPr="00EC24F7">
        <w:rPr>
          <w:rFonts w:cs="Arial"/>
          <w:lang w:val="en-GB"/>
        </w:rPr>
        <w:t>characterise the</w:t>
      </w:r>
      <w:r w:rsidRPr="00EC24F7">
        <w:rPr>
          <w:rFonts w:cs="Arial"/>
          <w:lang w:val="en-GB"/>
        </w:rPr>
        <w:t xml:space="preserve"> City’s </w:t>
      </w:r>
      <w:r w:rsidR="0016060F" w:rsidRPr="00EC24F7">
        <w:rPr>
          <w:rFonts w:cs="Arial"/>
          <w:lang w:val="en-GB"/>
        </w:rPr>
        <w:t>averments</w:t>
      </w:r>
      <w:r w:rsidRPr="00EC24F7">
        <w:rPr>
          <w:rFonts w:cs="Arial"/>
          <w:lang w:val="en-GB"/>
        </w:rPr>
        <w:t xml:space="preserve"> as </w:t>
      </w:r>
      <w:r w:rsidRPr="00EC24F7">
        <w:rPr>
          <w:rFonts w:cs="Arial"/>
          <w:i/>
          <w:iCs/>
          <w:lang w:val="en-GB"/>
        </w:rPr>
        <w:t>‘speculative</w:t>
      </w:r>
      <w:r w:rsidR="00446D62" w:rsidRPr="00EC24F7">
        <w:rPr>
          <w:rFonts w:cs="Arial"/>
          <w:i/>
          <w:iCs/>
          <w:lang w:val="en-GB"/>
        </w:rPr>
        <w:t xml:space="preserve"> and discriminatory</w:t>
      </w:r>
      <w:r w:rsidR="00446D62" w:rsidRPr="00EC24F7">
        <w:rPr>
          <w:rFonts w:cs="Arial"/>
          <w:lang w:val="en-GB"/>
        </w:rPr>
        <w:t>’</w:t>
      </w:r>
      <w:r w:rsidRPr="00EC24F7">
        <w:rPr>
          <w:rStyle w:val="FootnoteReference"/>
          <w:rFonts w:cs="Arial"/>
          <w:lang w:val="en-GB"/>
        </w:rPr>
        <w:footnoteReference w:id="54"/>
      </w:r>
      <w:r w:rsidRPr="00EC24F7">
        <w:rPr>
          <w:rFonts w:cs="Arial"/>
          <w:lang w:val="en-GB"/>
        </w:rPr>
        <w:t xml:space="preserve"> (which is in denied) all that is put up in response </w:t>
      </w:r>
      <w:r w:rsidR="00B13219" w:rsidRPr="00EC24F7">
        <w:rPr>
          <w:rFonts w:cs="Arial"/>
          <w:lang w:val="en-GB"/>
        </w:rPr>
        <w:t xml:space="preserve">is a </w:t>
      </w:r>
      <w:r w:rsidRPr="00EC24F7">
        <w:rPr>
          <w:rFonts w:cs="Arial"/>
          <w:lang w:val="en-GB"/>
        </w:rPr>
        <w:t xml:space="preserve">bald denial, </w:t>
      </w:r>
      <w:r w:rsidRPr="00EC24F7">
        <w:rPr>
          <w:rFonts w:cs="Arial"/>
          <w:lang w:val="en-GB"/>
        </w:rPr>
        <w:lastRenderedPageBreak/>
        <w:t>coupled with emotive statements with no countervailing evidence being put forward to address the City’s specific allegations.</w:t>
      </w:r>
      <w:r w:rsidR="000B6BCC" w:rsidRPr="00EC24F7">
        <w:rPr>
          <w:rFonts w:cs="Arial"/>
          <w:lang w:val="en-GB"/>
        </w:rPr>
        <w:t xml:space="preserve">  Indeed, Mr Al-Habsy </w:t>
      </w:r>
      <w:r w:rsidR="000F2343" w:rsidRPr="00EC24F7">
        <w:rPr>
          <w:rFonts w:cs="Arial"/>
          <w:lang w:val="en-GB"/>
        </w:rPr>
        <w:t xml:space="preserve">does not state that </w:t>
      </w:r>
      <w:r w:rsidR="000F2343" w:rsidRPr="00EC24F7">
        <w:rPr>
          <w:rFonts w:cs="Arial"/>
          <w:u w:val="single"/>
          <w:lang w:val="en-GB"/>
        </w:rPr>
        <w:t>none</w:t>
      </w:r>
      <w:r w:rsidR="000F2343" w:rsidRPr="00EC24F7">
        <w:rPr>
          <w:rFonts w:cs="Arial"/>
          <w:lang w:val="en-GB"/>
        </w:rPr>
        <w:t xml:space="preserve"> of the crime is attributable to the unlawful occupiers and thus </w:t>
      </w:r>
      <w:r w:rsidR="000B6BCC" w:rsidRPr="00EC24F7">
        <w:rPr>
          <w:rFonts w:cs="Arial"/>
          <w:lang w:val="en-GB"/>
        </w:rPr>
        <w:t xml:space="preserve">implicitly accepts </w:t>
      </w:r>
      <w:r w:rsidR="00F14B1D" w:rsidRPr="00EC24F7">
        <w:rPr>
          <w:rFonts w:cs="Arial"/>
          <w:lang w:val="en-GB"/>
        </w:rPr>
        <w:t xml:space="preserve">that </w:t>
      </w:r>
      <w:r w:rsidR="00AA0AA7" w:rsidRPr="00EC24F7">
        <w:rPr>
          <w:rFonts w:cs="Arial"/>
          <w:lang w:val="en-GB"/>
        </w:rPr>
        <w:t xml:space="preserve">some of </w:t>
      </w:r>
      <w:r w:rsidRPr="00EC24F7">
        <w:rPr>
          <w:rFonts w:cs="Arial"/>
          <w:lang w:val="en-GB"/>
        </w:rPr>
        <w:t xml:space="preserve">the crime referred to </w:t>
      </w:r>
      <w:r w:rsidR="00B80198" w:rsidRPr="00EC24F7">
        <w:rPr>
          <w:rFonts w:cs="Arial"/>
          <w:lang w:val="en-GB"/>
        </w:rPr>
        <w:t xml:space="preserve">by the City </w:t>
      </w:r>
      <w:r w:rsidRPr="00EC24F7">
        <w:rPr>
          <w:rFonts w:cs="Arial"/>
          <w:lang w:val="en-GB"/>
        </w:rPr>
        <w:t>was committed by the unlawful occupiers</w:t>
      </w:r>
      <w:r w:rsidR="00B80198" w:rsidRPr="00EC24F7">
        <w:rPr>
          <w:rFonts w:cs="Arial"/>
          <w:lang w:val="en-GB"/>
        </w:rPr>
        <w:t>.</w:t>
      </w:r>
      <w:r w:rsidR="00B80198" w:rsidRPr="00EC24F7">
        <w:rPr>
          <w:rStyle w:val="FootnoteReference"/>
          <w:rFonts w:cs="Arial"/>
          <w:lang w:val="en-GB"/>
        </w:rPr>
        <w:footnoteReference w:id="55"/>
      </w:r>
      <w:r w:rsidR="000F2343" w:rsidRPr="00EC24F7">
        <w:rPr>
          <w:rFonts w:cs="Arial"/>
          <w:lang w:val="en-GB"/>
        </w:rPr>
        <w:t xml:space="preserve">  Mr Al-Habsy does not deny the alarming rate of crime in the immediate vicinity of the unlawful occupation, and he does not assert that the criminal activity is being perpetrated by persons other than the unlawful occupiers</w:t>
      </w:r>
      <w:r w:rsidR="000225BA" w:rsidRPr="00EC24F7">
        <w:rPr>
          <w:rFonts w:cs="Arial"/>
          <w:lang w:val="en-GB"/>
        </w:rPr>
        <w:t>.</w:t>
      </w:r>
      <w:r w:rsidR="000F2343" w:rsidRPr="00EC24F7">
        <w:rPr>
          <w:rFonts w:cs="Arial"/>
          <w:lang w:val="en-GB"/>
        </w:rPr>
        <w:t xml:space="preserve">  If persons who are not part of the unlawful occupiers were responsible for the criminal activity, it stands to reason that Mr Al-Habsy supposedly on behalf of all the unlawful occupiers would have made this specific averment.  </w:t>
      </w:r>
    </w:p>
    <w:p w14:paraId="26FCFB8A" w14:textId="3163C55F" w:rsidR="006B099E" w:rsidRPr="00EC24F7" w:rsidRDefault="00D51B2F" w:rsidP="005508AE">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 xml:space="preserve">The City has put up video evidence showing the presence of a tunnel running under the properties, in the vicinity of Lower Church Street, Woodstock.  It is clear from the video evidence that the tunnel which is colloquially referred to as the </w:t>
      </w:r>
      <w:r w:rsidRPr="00EC24F7">
        <w:rPr>
          <w:rFonts w:cs="Arial"/>
          <w:i/>
          <w:iCs/>
          <w:color w:val="000000"/>
          <w:lang w:val="en-GB"/>
        </w:rPr>
        <w:t>‘warehouse’</w:t>
      </w:r>
      <w:r w:rsidRPr="00EC24F7">
        <w:rPr>
          <w:rFonts w:cs="Arial"/>
          <w:color w:val="000000"/>
          <w:lang w:val="en-GB"/>
        </w:rPr>
        <w:t xml:space="preserve"> is where drugs are stored on the properties and where drugs</w:t>
      </w:r>
      <w:r w:rsidR="00276249">
        <w:rPr>
          <w:rFonts w:cs="Arial"/>
          <w:color w:val="000000"/>
          <w:lang w:val="en-GB"/>
        </w:rPr>
        <w:t xml:space="preserve"> and </w:t>
      </w:r>
      <w:r w:rsidR="00276249" w:rsidRPr="00EC24F7">
        <w:rPr>
          <w:rFonts w:cs="Arial"/>
          <w:color w:val="000000"/>
          <w:lang w:val="en-GB"/>
        </w:rPr>
        <w:t>stolen goods</w:t>
      </w:r>
      <w:r w:rsidRPr="00EC24F7">
        <w:rPr>
          <w:rFonts w:cs="Arial"/>
          <w:color w:val="000000"/>
          <w:lang w:val="en-GB"/>
        </w:rPr>
        <w:t xml:space="preserve"> have been found on many occasions.</w:t>
      </w:r>
      <w:r w:rsidRPr="00EC24F7">
        <w:rPr>
          <w:rStyle w:val="FootnoteReference"/>
          <w:rFonts w:cs="Arial"/>
          <w:color w:val="000000"/>
          <w:lang w:val="en-GB"/>
        </w:rPr>
        <w:footnoteReference w:id="56"/>
      </w:r>
      <w:r w:rsidRPr="00EC24F7">
        <w:rPr>
          <w:rFonts w:cs="Arial"/>
          <w:color w:val="000000"/>
          <w:lang w:val="en-GB"/>
        </w:rPr>
        <w:t xml:space="preserve">  </w:t>
      </w:r>
      <w:r w:rsidR="00A075D3" w:rsidRPr="00EC24F7">
        <w:rPr>
          <w:rFonts w:cs="Arial"/>
          <w:color w:val="000000"/>
          <w:lang w:val="en-GB"/>
        </w:rPr>
        <w:t>The unlawful occupiers have elected not to respond to these allegations at all.</w:t>
      </w:r>
      <w:r w:rsidR="007D1E3D" w:rsidRPr="00EC24F7">
        <w:rPr>
          <w:rFonts w:cs="Arial"/>
          <w:color w:val="000000"/>
          <w:lang w:val="en-GB"/>
        </w:rPr>
        <w:t xml:space="preserve">  </w:t>
      </w:r>
    </w:p>
    <w:p w14:paraId="6BB54699" w14:textId="41A01DD4" w:rsidR="00A075D3" w:rsidRPr="00EC24F7" w:rsidRDefault="009229D8" w:rsidP="005508AE">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 xml:space="preserve">If </w:t>
      </w:r>
      <w:r w:rsidRPr="00EC24F7">
        <w:rPr>
          <w:rFonts w:cs="Arial"/>
          <w:color w:val="242121"/>
          <w:shd w:val="clear" w:color="auto" w:fill="FFFFFF"/>
        </w:rPr>
        <w:t>these allegations were untrue, or if an adequate explanation were possible, leave of the court could and should have been sought to answer them</w:t>
      </w:r>
      <w:r w:rsidR="00F26364" w:rsidRPr="00EC24F7">
        <w:rPr>
          <w:rFonts w:cs="Arial"/>
          <w:color w:val="242121"/>
          <w:shd w:val="clear" w:color="auto" w:fill="FFFFFF"/>
        </w:rPr>
        <w:t>.</w:t>
      </w:r>
      <w:r w:rsidR="00D17931" w:rsidRPr="00EC24F7">
        <w:rPr>
          <w:rStyle w:val="FootnoteReference"/>
          <w:rFonts w:eastAsiaTheme="majorEastAsia" w:cs="Arial"/>
          <w:bCs/>
          <w:iCs/>
          <w:color w:val="000000" w:themeColor="text1"/>
        </w:rPr>
        <w:footnoteReference w:id="57"/>
      </w:r>
      <w:r w:rsidR="00F26364" w:rsidRPr="00EC24F7">
        <w:rPr>
          <w:rFonts w:cs="Arial"/>
          <w:color w:val="242121"/>
          <w:shd w:val="clear" w:color="auto" w:fill="FFFFFF"/>
        </w:rPr>
        <w:t xml:space="preserve">  The unlawful occupiers did not request an opportunity to deal with these averments, and their failure to do so tilts the probabilities towards the City’s version.</w:t>
      </w:r>
      <w:r w:rsidR="00F26364" w:rsidRPr="00EC24F7">
        <w:rPr>
          <w:rStyle w:val="FootnoteReference"/>
          <w:rFonts w:eastAsiaTheme="majorEastAsia" w:cs="Arial"/>
          <w:bCs/>
          <w:iCs/>
          <w:color w:val="000000" w:themeColor="text1"/>
        </w:rPr>
        <w:footnoteReference w:id="58"/>
      </w:r>
      <w:r w:rsidR="000C74A9" w:rsidRPr="00EC24F7">
        <w:rPr>
          <w:rFonts w:cs="Arial"/>
          <w:color w:val="242121"/>
          <w:shd w:val="clear" w:color="auto" w:fill="FFFFFF"/>
        </w:rPr>
        <w:t xml:space="preserve">  Indeed, </w:t>
      </w:r>
      <w:r w:rsidR="000C74A9" w:rsidRPr="00EC24F7">
        <w:rPr>
          <w:rFonts w:cs="Arial"/>
          <w:color w:val="000000"/>
          <w:lang w:val="en-GB"/>
        </w:rPr>
        <w:lastRenderedPageBreak/>
        <w:t>it would be absurd to suggest that persons other than those residing on the properties are responsible for the creation of this tunnel for purposes of drug storage and the storage of stolen goods.  Such an argument would require this Court to accept that there is some unrelated criminal enterprise that has taken the decision to store drugs</w:t>
      </w:r>
      <w:r w:rsidR="003610E3">
        <w:rPr>
          <w:rFonts w:cs="Arial"/>
          <w:color w:val="000000"/>
          <w:lang w:val="en-GB"/>
        </w:rPr>
        <w:t xml:space="preserve"> and contraband</w:t>
      </w:r>
      <w:r w:rsidR="000C74A9" w:rsidRPr="00EC24F7">
        <w:rPr>
          <w:rFonts w:cs="Arial"/>
          <w:color w:val="000000"/>
          <w:lang w:val="en-GB"/>
        </w:rPr>
        <w:t xml:space="preserve"> on properties where they do not reside and/or over which they exercise no control.  This only has to be stated to be rejected.</w:t>
      </w:r>
    </w:p>
    <w:p w14:paraId="7C900452" w14:textId="3D1E42EF" w:rsidR="001C1EF4" w:rsidRPr="00EC24F7" w:rsidRDefault="001C1EF4" w:rsidP="008D10EA">
      <w:pPr>
        <w:numPr>
          <w:ilvl w:val="0"/>
          <w:numId w:val="2"/>
        </w:numPr>
        <w:snapToGrid w:val="0"/>
        <w:spacing w:before="120" w:after="360" w:line="480" w:lineRule="auto"/>
        <w:jc w:val="both"/>
        <w:rPr>
          <w:rFonts w:cs="Arial"/>
          <w:lang w:val="en-GB"/>
        </w:rPr>
      </w:pPr>
      <w:r w:rsidRPr="00EC24F7">
        <w:rPr>
          <w:rFonts w:cs="Arial"/>
          <w:lang w:val="en-GB"/>
        </w:rPr>
        <w:t>It i</w:t>
      </w:r>
      <w:r w:rsidR="000225BA" w:rsidRPr="00EC24F7">
        <w:rPr>
          <w:rFonts w:cs="Arial"/>
          <w:lang w:val="en-GB"/>
        </w:rPr>
        <w:t>s</w:t>
      </w:r>
      <w:r w:rsidRPr="00EC24F7">
        <w:rPr>
          <w:rFonts w:cs="Arial"/>
          <w:lang w:val="en-GB"/>
        </w:rPr>
        <w:t xml:space="preserve"> telling that the unlawful occupiers do not unequivocally deny the City’s averments linking the undisputed and alarming rate of criminal activity in the immediate vicinity of the properties to the unlawful occupiers.  They do not state that none of them </w:t>
      </w:r>
      <w:r w:rsidRPr="00EC24F7">
        <w:rPr>
          <w:rFonts w:cs="Arial"/>
          <w:color w:val="000000"/>
          <w:lang w:val="en-GB"/>
        </w:rPr>
        <w:t xml:space="preserve">currently face criminal charges for the incidents referred to by the City.  They do not state that </w:t>
      </w:r>
      <w:r w:rsidR="00F408FE" w:rsidRPr="00EC24F7">
        <w:rPr>
          <w:rFonts w:cs="Arial"/>
          <w:color w:val="000000"/>
          <w:lang w:val="en-GB"/>
        </w:rPr>
        <w:t xml:space="preserve">none of the unlawful occupiers are responsible for </w:t>
      </w:r>
      <w:r w:rsidR="00242394">
        <w:rPr>
          <w:rFonts w:cs="Arial"/>
          <w:color w:val="000000"/>
          <w:lang w:val="en-GB"/>
        </w:rPr>
        <w:t xml:space="preserve">the </w:t>
      </w:r>
      <w:r w:rsidR="00F408FE" w:rsidRPr="00EC24F7">
        <w:rPr>
          <w:rFonts w:cs="Arial"/>
          <w:color w:val="000000"/>
          <w:lang w:val="en-GB"/>
        </w:rPr>
        <w:t xml:space="preserve">criminal activity or that those responsible are a small portion of the unlawful occupiers. They do not state that they </w:t>
      </w:r>
      <w:r w:rsidR="00F408FE" w:rsidRPr="00EC24F7">
        <w:rPr>
          <w:rFonts w:cs="Arial"/>
          <w:lang w:val="en-GB"/>
        </w:rPr>
        <w:t xml:space="preserve">are </w:t>
      </w:r>
      <w:r w:rsidRPr="00EC24F7">
        <w:rPr>
          <w:rFonts w:cs="Arial"/>
          <w:color w:val="000000"/>
          <w:lang w:val="en-GB"/>
        </w:rPr>
        <w:t xml:space="preserve">aware of the criminal </w:t>
      </w:r>
      <w:r w:rsidR="00F408FE" w:rsidRPr="00EC24F7">
        <w:rPr>
          <w:rFonts w:cs="Arial"/>
          <w:color w:val="000000"/>
          <w:lang w:val="en-GB"/>
        </w:rPr>
        <w:t>conduct but</w:t>
      </w:r>
      <w:r w:rsidRPr="00EC24F7">
        <w:rPr>
          <w:rFonts w:cs="Arial"/>
          <w:color w:val="000000"/>
          <w:lang w:val="en-GB"/>
        </w:rPr>
        <w:t xml:space="preserve"> fear revealing details </w:t>
      </w:r>
      <w:r w:rsidR="00F408FE" w:rsidRPr="00EC24F7">
        <w:rPr>
          <w:rFonts w:cs="Arial"/>
          <w:color w:val="000000"/>
          <w:lang w:val="en-GB"/>
        </w:rPr>
        <w:t>those responsible</w:t>
      </w:r>
      <w:r w:rsidRPr="00EC24F7">
        <w:rPr>
          <w:rFonts w:cs="Arial"/>
          <w:color w:val="000000"/>
          <w:lang w:val="en-GB"/>
        </w:rPr>
        <w:t>.</w:t>
      </w:r>
      <w:r w:rsidR="00D74F2C" w:rsidRPr="00EC24F7">
        <w:rPr>
          <w:rFonts w:cs="Arial"/>
          <w:color w:val="000000"/>
          <w:lang w:val="en-GB"/>
        </w:rPr>
        <w:t xml:space="preserve"> </w:t>
      </w:r>
    </w:p>
    <w:p w14:paraId="4ED1ADBD" w14:textId="6DBE7971" w:rsidR="007755E6" w:rsidRPr="00EC24F7" w:rsidRDefault="00D74F2C" w:rsidP="00D74F2C">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These are the sorts allegations that would fall squarely within the knowledge of the unlawful occupiers and would have served to refute or at least cast doubt on the City’s averments</w:t>
      </w:r>
      <w:r w:rsidR="008177A1" w:rsidRPr="00EC24F7">
        <w:rPr>
          <w:rFonts w:cs="Arial"/>
          <w:color w:val="000000"/>
          <w:lang w:val="en-GB"/>
        </w:rPr>
        <w:t xml:space="preserve">. </w:t>
      </w:r>
      <w:r w:rsidR="003A0589" w:rsidRPr="00EC24F7">
        <w:rPr>
          <w:rFonts w:cs="Arial"/>
          <w:color w:val="000000"/>
          <w:lang w:val="en-GB"/>
        </w:rPr>
        <w:t xml:space="preserve"> Given the failure of the unlawful occupiers to make any of these averments </w:t>
      </w:r>
      <w:r w:rsidR="00762095" w:rsidRPr="00EC24F7">
        <w:rPr>
          <w:rFonts w:cs="Arial"/>
          <w:color w:val="000000"/>
          <w:lang w:val="en-GB"/>
        </w:rPr>
        <w:t xml:space="preserve">and their manifest failure to </w:t>
      </w:r>
      <w:r w:rsidR="00B328E0" w:rsidRPr="00EC24F7">
        <w:rPr>
          <w:rFonts w:cs="Arial"/>
          <w:color w:val="000000"/>
          <w:lang w:val="en-GB"/>
        </w:rPr>
        <w:t xml:space="preserve">engage with and dispute the City’s averments, </w:t>
      </w:r>
      <w:r w:rsidR="003A0589" w:rsidRPr="00EC24F7">
        <w:rPr>
          <w:rFonts w:cs="Arial"/>
          <w:color w:val="000000"/>
          <w:lang w:val="en-GB"/>
        </w:rPr>
        <w:t>t</w:t>
      </w:r>
      <w:r w:rsidR="008177A1" w:rsidRPr="00EC24F7">
        <w:rPr>
          <w:rFonts w:cs="Arial"/>
          <w:color w:val="000000"/>
          <w:lang w:val="en-GB"/>
        </w:rPr>
        <w:t>he</w:t>
      </w:r>
      <w:r w:rsidR="001B6739" w:rsidRPr="00EC24F7">
        <w:rPr>
          <w:rFonts w:cs="Arial"/>
          <w:color w:val="000000"/>
          <w:lang w:val="en-GB"/>
        </w:rPr>
        <w:t>re is no basis laid by the unlawful occupiers in their affidavit</w:t>
      </w:r>
      <w:r w:rsidR="006D20BF">
        <w:rPr>
          <w:rFonts w:cs="Arial"/>
          <w:color w:val="000000"/>
          <w:lang w:val="en-GB"/>
        </w:rPr>
        <w:t>s</w:t>
      </w:r>
      <w:r w:rsidR="001B6739" w:rsidRPr="00EC24F7">
        <w:rPr>
          <w:rFonts w:cs="Arial"/>
          <w:color w:val="000000"/>
          <w:lang w:val="en-GB"/>
        </w:rPr>
        <w:t xml:space="preserve"> for disputing the veracity or accuracy of the City’s </w:t>
      </w:r>
      <w:r w:rsidR="00C9079B" w:rsidRPr="00EC24F7">
        <w:rPr>
          <w:rFonts w:cs="Arial"/>
          <w:color w:val="000000"/>
          <w:lang w:val="en-GB"/>
        </w:rPr>
        <w:t>averments</w:t>
      </w:r>
      <w:r w:rsidR="00B328E0" w:rsidRPr="00EC24F7">
        <w:rPr>
          <w:rFonts w:cs="Arial"/>
          <w:color w:val="000000"/>
          <w:lang w:val="en-GB"/>
        </w:rPr>
        <w:t>.</w:t>
      </w:r>
      <w:r w:rsidR="00B328E0" w:rsidRPr="00EC24F7">
        <w:rPr>
          <w:rStyle w:val="FootnoteReference"/>
          <w:rFonts w:cs="Arial"/>
          <w:color w:val="000000"/>
          <w:lang w:val="en-GB"/>
        </w:rPr>
        <w:footnoteReference w:id="59"/>
      </w:r>
    </w:p>
    <w:p w14:paraId="1F820633" w14:textId="4A0889B4" w:rsidR="00575992" w:rsidRPr="00EC24F7" w:rsidRDefault="00575992" w:rsidP="00A25808">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lang w:val="en-GB"/>
        </w:rPr>
        <w:t xml:space="preserve">In order to refute the City’s averment that the unlawful occupation provides a base for criminal activity and is not linked to </w:t>
      </w:r>
      <w:r w:rsidRPr="00EC24F7">
        <w:rPr>
          <w:rFonts w:cs="Arial"/>
          <w:color w:val="000000" w:themeColor="text1"/>
          <w:lang w:val="en-GB"/>
        </w:rPr>
        <w:t xml:space="preserve">the need for residential shelter close to </w:t>
      </w:r>
      <w:r w:rsidRPr="00EC24F7">
        <w:rPr>
          <w:rFonts w:cs="Arial"/>
          <w:color w:val="000000" w:themeColor="text1"/>
          <w:lang w:val="en-GB"/>
        </w:rPr>
        <w:lastRenderedPageBreak/>
        <w:t>economic opportunities,</w:t>
      </w:r>
      <w:r w:rsidR="00BB077C" w:rsidRPr="00EC24F7">
        <w:rPr>
          <w:rStyle w:val="FootnoteReference"/>
          <w:rFonts w:cs="Arial"/>
          <w:color w:val="000000" w:themeColor="text1"/>
          <w:lang w:val="en-GB"/>
        </w:rPr>
        <w:footnoteReference w:id="60"/>
      </w:r>
      <w:r w:rsidRPr="00EC24F7">
        <w:rPr>
          <w:rFonts w:cs="Arial"/>
          <w:color w:val="000000" w:themeColor="text1"/>
          <w:lang w:val="en-GB"/>
        </w:rPr>
        <w:t xml:space="preserve"> it was incumbent on the unlawful occupiers to put up specific information about where they are supposedly employed. They have manifestly failed to do so</w:t>
      </w:r>
      <w:r w:rsidR="00B0709E" w:rsidRPr="00EC24F7">
        <w:rPr>
          <w:rFonts w:cs="Arial"/>
          <w:color w:val="000000" w:themeColor="text1"/>
          <w:lang w:val="en-GB"/>
        </w:rPr>
        <w:t xml:space="preserve"> and instead once again content themselves with vague, non-specific averments and bare denials</w:t>
      </w:r>
      <w:r w:rsidR="00532E04" w:rsidRPr="00EC24F7">
        <w:rPr>
          <w:rFonts w:cs="Arial"/>
          <w:color w:val="000000" w:themeColor="text1"/>
          <w:lang w:val="en-GB"/>
        </w:rPr>
        <w:t>.</w:t>
      </w:r>
      <w:r w:rsidR="00532E04" w:rsidRPr="00EC24F7">
        <w:rPr>
          <w:rStyle w:val="FootnoteReference"/>
          <w:rFonts w:cs="Arial"/>
          <w:color w:val="000000" w:themeColor="text1"/>
          <w:lang w:val="en-GB"/>
        </w:rPr>
        <w:footnoteReference w:id="61"/>
      </w:r>
      <w:r w:rsidRPr="00EC24F7">
        <w:rPr>
          <w:rFonts w:cs="Arial"/>
          <w:color w:val="000000" w:themeColor="text1"/>
          <w:lang w:val="en-GB"/>
        </w:rPr>
        <w:t xml:space="preserve"> </w:t>
      </w:r>
      <w:r w:rsidR="00384461" w:rsidRPr="00EC24F7">
        <w:rPr>
          <w:rFonts w:cs="Arial"/>
          <w:color w:val="000000" w:themeColor="text1"/>
          <w:lang w:val="en-GB"/>
        </w:rPr>
        <w:t xml:space="preserve"> </w:t>
      </w:r>
      <w:r w:rsidR="00384461" w:rsidRPr="00EC24F7">
        <w:rPr>
          <w:rFonts w:cs="Arial"/>
          <w:lang w:val="en-GB"/>
        </w:rPr>
        <w:t xml:space="preserve">The information relating to the unlawful occupiers’ supposed employment </w:t>
      </w:r>
      <w:r w:rsidR="0031126E" w:rsidRPr="00EC24F7">
        <w:rPr>
          <w:rFonts w:cs="Arial"/>
          <w:lang w:val="en-GB"/>
        </w:rPr>
        <w:t>lies</w:t>
      </w:r>
      <w:r w:rsidR="00384461" w:rsidRPr="00EC24F7">
        <w:rPr>
          <w:rFonts w:cs="Arial"/>
          <w:lang w:val="en-GB"/>
        </w:rPr>
        <w:t xml:space="preserve"> solely within the</w:t>
      </w:r>
      <w:r w:rsidR="0031126E" w:rsidRPr="00EC24F7">
        <w:rPr>
          <w:rFonts w:cs="Arial"/>
          <w:lang w:val="en-GB"/>
        </w:rPr>
        <w:t>ir</w:t>
      </w:r>
      <w:r w:rsidR="00384461" w:rsidRPr="00EC24F7">
        <w:rPr>
          <w:rFonts w:cs="Arial"/>
          <w:lang w:val="en-GB"/>
        </w:rPr>
        <w:t xml:space="preserve"> knowledge. </w:t>
      </w:r>
      <w:r w:rsidR="00384461" w:rsidRPr="00EC24F7">
        <w:rPr>
          <w:rFonts w:cs="Arial"/>
          <w:color w:val="000000" w:themeColor="text1"/>
          <w:lang w:val="en-GB"/>
        </w:rPr>
        <w:t xml:space="preserve"> Their failure to place this information before the Court and the fact that they have elected not to depose to affidavits and to provide vague non-specific allegations in response, undermines any attempt to deny the City’s averments.</w:t>
      </w:r>
    </w:p>
    <w:p w14:paraId="6D71E01E" w14:textId="77777777" w:rsidR="00A25808" w:rsidRPr="00EC24F7" w:rsidRDefault="00C531F3" w:rsidP="00A25808">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 xml:space="preserve">Transnet’s averments take the matter no further.  </w:t>
      </w:r>
      <w:r w:rsidR="00422FA7" w:rsidRPr="00EC24F7">
        <w:rPr>
          <w:rFonts w:cs="Arial"/>
          <w:color w:val="000000"/>
          <w:lang w:val="en-GB"/>
        </w:rPr>
        <w:t>Transnet concedes that it has no knowledge of the information and sources of information on which the City relies,</w:t>
      </w:r>
      <w:r w:rsidR="00422FA7" w:rsidRPr="00EC24F7">
        <w:rPr>
          <w:rStyle w:val="FootnoteReference"/>
          <w:rFonts w:cs="Arial"/>
          <w:color w:val="000000"/>
          <w:lang w:val="en-GB"/>
        </w:rPr>
        <w:footnoteReference w:id="62"/>
      </w:r>
      <w:r w:rsidR="004E36F6" w:rsidRPr="00EC24F7">
        <w:rPr>
          <w:rFonts w:cs="Arial"/>
          <w:color w:val="000000"/>
          <w:lang w:val="en-GB"/>
        </w:rPr>
        <w:t xml:space="preserve"> and as a consequence its attempts to dispute the City’s averments have no basis in fact.  </w:t>
      </w:r>
      <w:r w:rsidR="00193EEC" w:rsidRPr="00EC24F7">
        <w:rPr>
          <w:rFonts w:cs="Arial"/>
          <w:color w:val="000000"/>
          <w:lang w:val="en-GB"/>
        </w:rPr>
        <w:t>The City is a respondent in these proceedings, and consequently unless Transnet can demonstrate with reference to admissible evidence that the City’s version is palpably implausible, far-fetched or so untenable that the Court is justified in rejecting it on the papers alone, the City’s version must be accepted.</w:t>
      </w:r>
      <w:r w:rsidR="00193EEC" w:rsidRPr="00EC24F7">
        <w:rPr>
          <w:rStyle w:val="FootnoteReference"/>
          <w:rFonts w:cs="Arial"/>
          <w:color w:val="000000"/>
          <w:lang w:val="en-GB"/>
        </w:rPr>
        <w:footnoteReference w:id="63"/>
      </w:r>
      <w:r w:rsidR="00193EEC" w:rsidRPr="00EC24F7">
        <w:rPr>
          <w:rFonts w:cs="Arial"/>
          <w:color w:val="000000"/>
          <w:lang w:val="en-GB"/>
        </w:rPr>
        <w:t xml:space="preserve"> </w:t>
      </w:r>
    </w:p>
    <w:p w14:paraId="73AEA19F" w14:textId="7D7E8B01" w:rsidR="00E15F37" w:rsidRPr="00EC24F7" w:rsidRDefault="00C42069" w:rsidP="00A25808">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Transnet</w:t>
      </w:r>
      <w:r w:rsidR="00F8347B" w:rsidRPr="00EC24F7">
        <w:rPr>
          <w:rFonts w:cs="Arial"/>
          <w:color w:val="000000"/>
          <w:lang w:val="en-GB"/>
        </w:rPr>
        <w:t xml:space="preserve"> contends </w:t>
      </w:r>
      <w:r w:rsidRPr="00EC24F7">
        <w:rPr>
          <w:rFonts w:cs="Arial"/>
          <w:color w:val="000000"/>
          <w:lang w:val="en-GB"/>
        </w:rPr>
        <w:t xml:space="preserve">that the City ought to have obtained access to the </w:t>
      </w:r>
      <w:r w:rsidR="00F63D4D" w:rsidRPr="00EC24F7">
        <w:rPr>
          <w:rFonts w:cs="Arial"/>
          <w:color w:val="000000"/>
          <w:lang w:val="en-GB"/>
        </w:rPr>
        <w:t>personal</w:t>
      </w:r>
      <w:r w:rsidR="006F133A" w:rsidRPr="00EC24F7">
        <w:rPr>
          <w:rFonts w:cs="Arial"/>
          <w:color w:val="000000"/>
          <w:lang w:val="en-GB"/>
        </w:rPr>
        <w:t xml:space="preserve"> particulars</w:t>
      </w:r>
      <w:r w:rsidRPr="00EC24F7">
        <w:rPr>
          <w:rFonts w:cs="Arial"/>
          <w:color w:val="000000"/>
          <w:lang w:val="en-GB"/>
        </w:rPr>
        <w:t xml:space="preserve"> of the arrested persons</w:t>
      </w:r>
      <w:r w:rsidR="00BB75C5" w:rsidRPr="00EC24F7">
        <w:rPr>
          <w:rFonts w:cs="Arial"/>
          <w:color w:val="000000"/>
          <w:lang w:val="en-GB"/>
        </w:rPr>
        <w:t xml:space="preserve"> </w:t>
      </w:r>
      <w:r w:rsidR="006F133A" w:rsidRPr="00EC24F7">
        <w:rPr>
          <w:rFonts w:cs="Arial"/>
          <w:color w:val="000000"/>
          <w:lang w:val="en-GB"/>
        </w:rPr>
        <w:t>from the SAPS</w:t>
      </w:r>
      <w:r w:rsidR="0083092E" w:rsidRPr="00EC24F7">
        <w:rPr>
          <w:rFonts w:cs="Arial"/>
          <w:color w:val="000000"/>
          <w:lang w:val="en-GB"/>
        </w:rPr>
        <w:t>,</w:t>
      </w:r>
      <w:r w:rsidR="00F8347B" w:rsidRPr="00EC24F7">
        <w:rPr>
          <w:rStyle w:val="FootnoteReference"/>
          <w:rFonts w:cs="Arial"/>
          <w:color w:val="000000"/>
          <w:lang w:val="en-GB"/>
        </w:rPr>
        <w:footnoteReference w:id="64"/>
      </w:r>
      <w:r w:rsidR="00F8347B" w:rsidRPr="00EC24F7">
        <w:rPr>
          <w:rFonts w:cs="Arial"/>
          <w:color w:val="000000"/>
          <w:lang w:val="en-GB"/>
        </w:rPr>
        <w:t xml:space="preserve"> </w:t>
      </w:r>
      <w:r w:rsidR="0083092E" w:rsidRPr="00EC24F7">
        <w:rPr>
          <w:rFonts w:cs="Arial"/>
          <w:color w:val="000000"/>
          <w:lang w:val="en-GB"/>
        </w:rPr>
        <w:t>however,</w:t>
      </w:r>
      <w:r w:rsidRPr="00EC24F7">
        <w:rPr>
          <w:rFonts w:cs="Arial"/>
          <w:color w:val="000000"/>
          <w:lang w:val="en-GB"/>
        </w:rPr>
        <w:t xml:space="preserve"> </w:t>
      </w:r>
      <w:r w:rsidR="0031021D" w:rsidRPr="00EC24F7">
        <w:rPr>
          <w:rFonts w:cs="Arial"/>
          <w:color w:val="000000"/>
          <w:lang w:val="en-GB"/>
        </w:rPr>
        <w:t>access to such</w:t>
      </w:r>
      <w:r w:rsidR="006F133A" w:rsidRPr="00EC24F7">
        <w:rPr>
          <w:rFonts w:cs="Arial"/>
          <w:color w:val="000000"/>
          <w:lang w:val="en-GB"/>
        </w:rPr>
        <w:t xml:space="preserve"> information </w:t>
      </w:r>
      <w:r w:rsidR="0031021D" w:rsidRPr="00EC24F7">
        <w:rPr>
          <w:rFonts w:cs="Arial"/>
          <w:color w:val="000000"/>
          <w:lang w:val="en-GB"/>
        </w:rPr>
        <w:t xml:space="preserve">is </w:t>
      </w:r>
      <w:r w:rsidR="004E19DF" w:rsidRPr="00EC24F7">
        <w:rPr>
          <w:rFonts w:cs="Arial"/>
          <w:color w:val="000000"/>
          <w:lang w:val="en-GB"/>
        </w:rPr>
        <w:t xml:space="preserve">not available </w:t>
      </w:r>
      <w:r w:rsidR="00EB4795" w:rsidRPr="00EC24F7">
        <w:rPr>
          <w:rFonts w:cs="Arial"/>
          <w:color w:val="000000"/>
          <w:lang w:val="en-GB"/>
        </w:rPr>
        <w:t xml:space="preserve">to third parties such as the City </w:t>
      </w:r>
      <w:r w:rsidR="006F133A" w:rsidRPr="00EC24F7">
        <w:rPr>
          <w:rFonts w:cs="Arial"/>
          <w:color w:val="000000"/>
          <w:lang w:val="en-GB"/>
        </w:rPr>
        <w:t>in terms of</w:t>
      </w:r>
      <w:r w:rsidR="004E19DF" w:rsidRPr="00EC24F7">
        <w:rPr>
          <w:rFonts w:cs="Arial"/>
          <w:color w:val="000000"/>
          <w:lang w:val="en-GB"/>
        </w:rPr>
        <w:t>,</w:t>
      </w:r>
      <w:r w:rsidR="006F133A" w:rsidRPr="00EC24F7">
        <w:rPr>
          <w:rFonts w:cs="Arial"/>
          <w:color w:val="000000"/>
          <w:lang w:val="en-GB"/>
        </w:rPr>
        <w:t xml:space="preserve"> </w:t>
      </w:r>
      <w:r w:rsidR="006F133A" w:rsidRPr="00EC24F7">
        <w:rPr>
          <w:rFonts w:cs="Arial"/>
          <w:i/>
          <w:iCs/>
          <w:color w:val="000000"/>
          <w:lang w:val="en-GB"/>
        </w:rPr>
        <w:t>inter alia</w:t>
      </w:r>
      <w:r w:rsidR="004E19DF" w:rsidRPr="00EC24F7">
        <w:rPr>
          <w:rFonts w:cs="Arial"/>
          <w:color w:val="000000"/>
          <w:lang w:val="en-GB"/>
        </w:rPr>
        <w:t>,</w:t>
      </w:r>
      <w:r w:rsidR="006F133A" w:rsidRPr="00EC24F7">
        <w:rPr>
          <w:rFonts w:cs="Arial"/>
          <w:color w:val="000000"/>
          <w:lang w:val="en-GB"/>
        </w:rPr>
        <w:t xml:space="preserve"> the relevant provisions of the </w:t>
      </w:r>
      <w:r w:rsidR="00802E95" w:rsidRPr="00EC24F7">
        <w:rPr>
          <w:rFonts w:cs="Arial"/>
          <w:color w:val="000000"/>
          <w:lang w:val="en-GB"/>
        </w:rPr>
        <w:t>Protection of Personal Information Act 4 of 2013</w:t>
      </w:r>
      <w:r w:rsidR="004E19DF" w:rsidRPr="00EC24F7">
        <w:rPr>
          <w:rFonts w:cs="Arial"/>
          <w:color w:val="000000"/>
          <w:lang w:val="en-GB"/>
        </w:rPr>
        <w:t xml:space="preserve">, the </w:t>
      </w:r>
      <w:r w:rsidR="000B45F6" w:rsidRPr="00EC24F7">
        <w:rPr>
          <w:rFonts w:cs="Arial"/>
          <w:color w:val="000000"/>
          <w:lang w:val="en-GB"/>
        </w:rPr>
        <w:t xml:space="preserve">Promotion of </w:t>
      </w:r>
      <w:r w:rsidR="004E19DF" w:rsidRPr="00EC24F7">
        <w:rPr>
          <w:rFonts w:cs="Arial"/>
          <w:color w:val="000000"/>
          <w:lang w:val="en-GB"/>
        </w:rPr>
        <w:t xml:space="preserve">Access </w:t>
      </w:r>
      <w:r w:rsidR="000B45F6" w:rsidRPr="00EC24F7">
        <w:rPr>
          <w:rFonts w:cs="Arial"/>
          <w:color w:val="000000"/>
          <w:lang w:val="en-GB"/>
        </w:rPr>
        <w:t>to Information Ac</w:t>
      </w:r>
      <w:r w:rsidR="00EB4795" w:rsidRPr="00EC24F7">
        <w:rPr>
          <w:rFonts w:cs="Arial"/>
          <w:color w:val="000000"/>
          <w:lang w:val="en-GB"/>
        </w:rPr>
        <w:t>t</w:t>
      </w:r>
      <w:r w:rsidR="000B45F6" w:rsidRPr="00EC24F7">
        <w:rPr>
          <w:rFonts w:cs="Arial"/>
          <w:color w:val="000000"/>
          <w:lang w:val="en-GB"/>
        </w:rPr>
        <w:t xml:space="preserve"> 2 of </w:t>
      </w:r>
      <w:r w:rsidR="00EB4795" w:rsidRPr="00EC24F7">
        <w:rPr>
          <w:rFonts w:cs="Arial"/>
          <w:color w:val="000000"/>
          <w:lang w:val="en-GB"/>
        </w:rPr>
        <w:t>2000</w:t>
      </w:r>
      <w:r w:rsidR="00802E95" w:rsidRPr="00EC24F7">
        <w:rPr>
          <w:rFonts w:cs="Arial"/>
          <w:color w:val="000000"/>
          <w:lang w:val="en-GB"/>
        </w:rPr>
        <w:t xml:space="preserve"> and </w:t>
      </w:r>
      <w:r w:rsidR="00565FA9" w:rsidRPr="00EC24F7">
        <w:rPr>
          <w:rFonts w:cs="Arial"/>
          <w:color w:val="000000"/>
          <w:lang w:val="en-GB"/>
        </w:rPr>
        <w:t>given that as a matter of law</w:t>
      </w:r>
      <w:r w:rsidRPr="00EC24F7">
        <w:rPr>
          <w:rFonts w:cs="Arial"/>
          <w:color w:val="000000"/>
          <w:lang w:val="en-GB"/>
        </w:rPr>
        <w:t xml:space="preserve"> third parties</w:t>
      </w:r>
      <w:r w:rsidR="00E800D8" w:rsidRPr="00EC24F7">
        <w:rPr>
          <w:rFonts w:cs="Arial"/>
          <w:color w:val="000000"/>
          <w:lang w:val="en-GB"/>
        </w:rPr>
        <w:t xml:space="preserve"> other than an accused person</w:t>
      </w:r>
      <w:r w:rsidRPr="00EC24F7">
        <w:rPr>
          <w:rFonts w:cs="Arial"/>
          <w:color w:val="000000"/>
          <w:lang w:val="en-GB"/>
        </w:rPr>
        <w:t xml:space="preserve"> are not entitled to access </w:t>
      </w:r>
      <w:r w:rsidR="00565FA9" w:rsidRPr="00EC24F7">
        <w:rPr>
          <w:rFonts w:cs="Arial"/>
          <w:color w:val="000000"/>
          <w:lang w:val="en-GB"/>
        </w:rPr>
        <w:t xml:space="preserve">arrest </w:t>
      </w:r>
      <w:r w:rsidR="00565FA9" w:rsidRPr="00EC24F7">
        <w:rPr>
          <w:rFonts w:cs="Arial"/>
          <w:color w:val="000000"/>
          <w:lang w:val="en-GB"/>
        </w:rPr>
        <w:lastRenderedPageBreak/>
        <w:t xml:space="preserve">reports and the like which form part of a </w:t>
      </w:r>
      <w:r w:rsidR="00E800D8" w:rsidRPr="00EC24F7">
        <w:rPr>
          <w:rFonts w:cs="Arial"/>
          <w:color w:val="000000"/>
          <w:lang w:val="en-GB"/>
        </w:rPr>
        <w:t>police</w:t>
      </w:r>
      <w:r w:rsidR="00565FA9" w:rsidRPr="00EC24F7">
        <w:rPr>
          <w:rFonts w:cs="Arial"/>
          <w:color w:val="000000"/>
          <w:lang w:val="en-GB"/>
        </w:rPr>
        <w:t xml:space="preserve"> docket</w:t>
      </w:r>
      <w:r w:rsidR="00F34E33">
        <w:rPr>
          <w:rFonts w:cs="Arial"/>
          <w:color w:val="000000"/>
          <w:lang w:val="en-GB"/>
        </w:rPr>
        <w:t>,</w:t>
      </w:r>
      <w:r w:rsidR="00565FA9" w:rsidRPr="00EC24F7">
        <w:rPr>
          <w:rFonts w:cs="Arial"/>
          <w:color w:val="000000"/>
          <w:lang w:val="en-GB"/>
        </w:rPr>
        <w:t xml:space="preserve"> </w:t>
      </w:r>
      <w:r w:rsidR="00F34E33">
        <w:rPr>
          <w:rFonts w:cs="Arial"/>
          <w:color w:val="000000"/>
          <w:lang w:val="en-GB"/>
        </w:rPr>
        <w:t>t</w:t>
      </w:r>
      <w:r w:rsidR="00565FA9" w:rsidRPr="00EC24F7">
        <w:rPr>
          <w:rFonts w:cs="Arial"/>
          <w:color w:val="000000"/>
          <w:lang w:val="en-GB"/>
        </w:rPr>
        <w:t xml:space="preserve">his suggestion </w:t>
      </w:r>
      <w:r w:rsidR="00596ADB" w:rsidRPr="00EC24F7">
        <w:rPr>
          <w:rFonts w:cs="Arial"/>
          <w:color w:val="000000"/>
          <w:lang w:val="en-GB"/>
        </w:rPr>
        <w:t xml:space="preserve">by Transnet </w:t>
      </w:r>
      <w:r w:rsidR="00565FA9" w:rsidRPr="00EC24F7">
        <w:rPr>
          <w:rFonts w:cs="Arial"/>
          <w:color w:val="000000"/>
          <w:lang w:val="en-GB"/>
        </w:rPr>
        <w:t>falls to be rejected out of hand</w:t>
      </w:r>
      <w:r w:rsidRPr="00EC24F7">
        <w:rPr>
          <w:rFonts w:cs="Arial"/>
          <w:color w:val="000000"/>
          <w:lang w:val="en-GB"/>
        </w:rPr>
        <w:t>.</w:t>
      </w:r>
      <w:r w:rsidR="0012156A" w:rsidRPr="00EC24F7">
        <w:rPr>
          <w:rStyle w:val="FootnoteReference"/>
          <w:rFonts w:cs="Arial"/>
          <w:color w:val="000000"/>
          <w:lang w:val="en-GB"/>
        </w:rPr>
        <w:footnoteReference w:id="65"/>
      </w:r>
      <w:r w:rsidRPr="00EC24F7">
        <w:rPr>
          <w:rFonts w:cs="Arial"/>
          <w:color w:val="000000"/>
          <w:lang w:val="en-GB"/>
        </w:rPr>
        <w:t xml:space="preserve"> </w:t>
      </w:r>
      <w:r w:rsidR="00F8347B" w:rsidRPr="00EC24F7">
        <w:rPr>
          <w:rFonts w:cs="Arial"/>
          <w:color w:val="000000"/>
          <w:lang w:val="en-GB"/>
        </w:rPr>
        <w:t xml:space="preserve"> </w:t>
      </w:r>
    </w:p>
    <w:p w14:paraId="5047008F" w14:textId="4E484090" w:rsidR="00685A4D" w:rsidRPr="00EC24F7" w:rsidRDefault="00596ADB" w:rsidP="00320BAB">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 xml:space="preserve">In any event, </w:t>
      </w:r>
      <w:r w:rsidR="004D539F" w:rsidRPr="00EC24F7">
        <w:rPr>
          <w:rFonts w:cs="Arial"/>
          <w:color w:val="000000"/>
          <w:lang w:val="en-GB"/>
        </w:rPr>
        <w:t xml:space="preserve">given that </w:t>
      </w:r>
      <w:r w:rsidRPr="00EC24F7">
        <w:rPr>
          <w:rFonts w:cs="Arial"/>
          <w:color w:val="000000"/>
          <w:lang w:val="en-GB"/>
        </w:rPr>
        <w:t xml:space="preserve">Transnet </w:t>
      </w:r>
      <w:r w:rsidR="004D539F" w:rsidRPr="00EC24F7">
        <w:rPr>
          <w:rFonts w:cs="Arial"/>
          <w:color w:val="000000"/>
          <w:lang w:val="en-GB"/>
        </w:rPr>
        <w:t xml:space="preserve">states that it cannot </w:t>
      </w:r>
      <w:r w:rsidR="004D539F" w:rsidRPr="00EC24F7">
        <w:rPr>
          <w:rFonts w:cs="Arial"/>
          <w:i/>
          <w:iCs/>
          <w:color w:val="000000"/>
          <w:lang w:val="en-GB"/>
        </w:rPr>
        <w:t>‘categorically</w:t>
      </w:r>
      <w:r w:rsidR="00920F92" w:rsidRPr="00EC24F7">
        <w:rPr>
          <w:rFonts w:cs="Arial"/>
          <w:color w:val="000000"/>
          <w:lang w:val="en-GB"/>
        </w:rPr>
        <w:t xml:space="preserve"> </w:t>
      </w:r>
      <w:r w:rsidR="00920F92" w:rsidRPr="00EC24F7">
        <w:rPr>
          <w:rFonts w:cs="Arial"/>
          <w:i/>
          <w:iCs/>
          <w:color w:val="000000"/>
          <w:lang w:val="en-GB"/>
        </w:rPr>
        <w:t>attribute</w:t>
      </w:r>
      <w:r w:rsidR="00246A27" w:rsidRPr="00EC24F7">
        <w:rPr>
          <w:rFonts w:cs="Arial"/>
          <w:i/>
          <w:iCs/>
          <w:color w:val="000000"/>
          <w:lang w:val="en-GB"/>
        </w:rPr>
        <w:t>’</w:t>
      </w:r>
      <w:r w:rsidR="00920F92" w:rsidRPr="00EC24F7">
        <w:rPr>
          <w:rFonts w:cs="Arial"/>
          <w:i/>
          <w:iCs/>
          <w:color w:val="000000"/>
          <w:lang w:val="en-GB"/>
        </w:rPr>
        <w:t xml:space="preserve"> </w:t>
      </w:r>
      <w:r w:rsidR="00A330CC" w:rsidRPr="00EC24F7">
        <w:rPr>
          <w:rFonts w:cs="Arial"/>
          <w:color w:val="000000"/>
          <w:lang w:val="en-GB"/>
        </w:rPr>
        <w:t xml:space="preserve">the incidents of theft and damage to </w:t>
      </w:r>
      <w:r w:rsidR="00CA7478" w:rsidRPr="00EC24F7">
        <w:rPr>
          <w:rFonts w:cs="Arial"/>
          <w:color w:val="000000"/>
          <w:lang w:val="en-GB"/>
        </w:rPr>
        <w:t>surrounding infrastructure</w:t>
      </w:r>
      <w:r w:rsidR="00A330CC" w:rsidRPr="00EC24F7">
        <w:rPr>
          <w:rFonts w:cs="Arial"/>
          <w:color w:val="000000"/>
          <w:lang w:val="en-GB"/>
        </w:rPr>
        <w:t xml:space="preserve"> </w:t>
      </w:r>
      <w:r w:rsidR="00CA7478" w:rsidRPr="00EC24F7">
        <w:rPr>
          <w:rFonts w:cs="Arial"/>
          <w:color w:val="000000"/>
          <w:lang w:val="en-GB"/>
        </w:rPr>
        <w:t>to the unlawful occupiers</w:t>
      </w:r>
      <w:r w:rsidR="00920F92" w:rsidRPr="00EC24F7">
        <w:rPr>
          <w:rFonts w:cs="Arial"/>
          <w:color w:val="000000"/>
          <w:lang w:val="en-GB"/>
        </w:rPr>
        <w:t>,</w:t>
      </w:r>
      <w:r w:rsidR="00920F92" w:rsidRPr="00EC24F7">
        <w:rPr>
          <w:rStyle w:val="FootnoteReference"/>
          <w:rFonts w:cs="Arial"/>
          <w:color w:val="000000"/>
          <w:lang w:val="en-GB"/>
        </w:rPr>
        <w:footnoteReference w:id="66"/>
      </w:r>
      <w:r w:rsidR="00920F92" w:rsidRPr="00EC24F7">
        <w:rPr>
          <w:rFonts w:cs="Arial"/>
          <w:color w:val="000000"/>
          <w:lang w:val="en-GB"/>
        </w:rPr>
        <w:t xml:space="preserve"> it follows</w:t>
      </w:r>
      <w:r w:rsidR="00CA7478" w:rsidRPr="00EC24F7">
        <w:rPr>
          <w:rFonts w:cs="Arial"/>
          <w:color w:val="000000"/>
          <w:lang w:val="en-GB"/>
        </w:rPr>
        <w:t xml:space="preserve"> as a matter of logic</w:t>
      </w:r>
      <w:r w:rsidR="00920F92" w:rsidRPr="00EC24F7">
        <w:rPr>
          <w:rFonts w:cs="Arial"/>
          <w:color w:val="000000"/>
          <w:lang w:val="en-GB"/>
        </w:rPr>
        <w:t xml:space="preserve"> Tran</w:t>
      </w:r>
      <w:r w:rsidR="002C1739" w:rsidRPr="00EC24F7">
        <w:rPr>
          <w:rFonts w:cs="Arial"/>
          <w:color w:val="000000"/>
          <w:lang w:val="en-GB"/>
        </w:rPr>
        <w:t>snet implicitly</w:t>
      </w:r>
      <w:r w:rsidR="00920F92" w:rsidRPr="00EC24F7">
        <w:rPr>
          <w:rFonts w:cs="Arial"/>
          <w:color w:val="000000"/>
          <w:lang w:val="en-GB"/>
        </w:rPr>
        <w:t xml:space="preserve"> accepts that</w:t>
      </w:r>
      <w:r w:rsidR="002C1739" w:rsidRPr="00EC24F7">
        <w:rPr>
          <w:rFonts w:cs="Arial"/>
          <w:color w:val="000000"/>
          <w:lang w:val="en-GB"/>
        </w:rPr>
        <w:t xml:space="preserve"> </w:t>
      </w:r>
      <w:r w:rsidR="0092086B" w:rsidRPr="00EC24F7">
        <w:rPr>
          <w:rFonts w:cs="Arial"/>
          <w:color w:val="000000"/>
          <w:lang w:val="en-GB"/>
        </w:rPr>
        <w:t xml:space="preserve">a reasonable inference </w:t>
      </w:r>
      <w:r w:rsidR="00CA7478" w:rsidRPr="00EC24F7">
        <w:rPr>
          <w:rFonts w:cs="Arial"/>
          <w:color w:val="000000"/>
          <w:lang w:val="en-GB"/>
        </w:rPr>
        <w:t>can</w:t>
      </w:r>
      <w:r w:rsidR="0092086B" w:rsidRPr="00EC24F7">
        <w:rPr>
          <w:rFonts w:cs="Arial"/>
          <w:color w:val="000000"/>
          <w:lang w:val="en-GB"/>
        </w:rPr>
        <w:t xml:space="preserve"> be drawn </w:t>
      </w:r>
      <w:r w:rsidR="000F31B5" w:rsidRPr="00EC24F7">
        <w:rPr>
          <w:rFonts w:cs="Arial"/>
          <w:color w:val="000000"/>
          <w:lang w:val="en-GB"/>
        </w:rPr>
        <w:t>that these incidents can be attributed to the unlawful occupiers.</w:t>
      </w:r>
      <w:r w:rsidR="00E15F37" w:rsidRPr="00EC24F7">
        <w:rPr>
          <w:rFonts w:cs="Arial"/>
          <w:color w:val="000000"/>
          <w:lang w:val="en-GB"/>
        </w:rPr>
        <w:t xml:space="preserve">  </w:t>
      </w:r>
      <w:r w:rsidRPr="00EC24F7">
        <w:rPr>
          <w:rFonts w:cs="Arial"/>
          <w:color w:val="000000"/>
          <w:lang w:val="en-GB"/>
        </w:rPr>
        <w:t>It is unclear who else could be responsible for the damage to infrastructure, particularly</w:t>
      </w:r>
      <w:r w:rsidR="00DC0C99" w:rsidRPr="00EC24F7">
        <w:rPr>
          <w:rFonts w:cs="Arial"/>
          <w:color w:val="000000"/>
          <w:lang w:val="en-GB"/>
        </w:rPr>
        <w:t xml:space="preserve"> in the face of the unlawful occupiers’ failure to dispute the City’s averments</w:t>
      </w:r>
      <w:r w:rsidRPr="00EC24F7">
        <w:rPr>
          <w:rFonts w:cs="Arial"/>
          <w:color w:val="000000"/>
          <w:lang w:val="en-GB"/>
        </w:rPr>
        <w:t xml:space="preserve">. </w:t>
      </w:r>
      <w:r w:rsidR="00320BAB" w:rsidRPr="00EC24F7">
        <w:rPr>
          <w:rFonts w:cs="Arial"/>
          <w:color w:val="000000"/>
          <w:lang w:val="en-GB"/>
        </w:rPr>
        <w:t xml:space="preserve"> Transnet’s argument that the City cannot contend that emergency housing ought not to be provided to persons who use properties as a basis for crime, simply because crime is policing issue,</w:t>
      </w:r>
      <w:r w:rsidR="00320BAB" w:rsidRPr="00EC24F7">
        <w:rPr>
          <w:rStyle w:val="FootnoteReference"/>
          <w:rFonts w:cs="Arial"/>
          <w:color w:val="000000"/>
          <w:lang w:val="en-GB"/>
        </w:rPr>
        <w:footnoteReference w:id="67"/>
      </w:r>
      <w:r w:rsidR="00320BAB" w:rsidRPr="00EC24F7">
        <w:rPr>
          <w:rFonts w:cs="Arial"/>
          <w:color w:val="000000"/>
          <w:lang w:val="en-GB"/>
        </w:rPr>
        <w:t xml:space="preserve"> is an ill-conceived attempt at legal misdirection. </w:t>
      </w:r>
    </w:p>
    <w:p w14:paraId="29BD421A" w14:textId="715E6C26" w:rsidR="00985247" w:rsidRPr="00EC24F7" w:rsidRDefault="00596ADB" w:rsidP="00700F8D">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 xml:space="preserve">Transnet’s averments proceed from the mistaken premise that the City is required </w:t>
      </w:r>
      <w:r w:rsidR="00685A4D" w:rsidRPr="00EC24F7">
        <w:rPr>
          <w:rFonts w:cs="Arial"/>
          <w:color w:val="000000"/>
          <w:lang w:val="en-GB"/>
        </w:rPr>
        <w:t xml:space="preserve">to link </w:t>
      </w:r>
      <w:r w:rsidR="00DC0C99" w:rsidRPr="00EC24F7">
        <w:rPr>
          <w:rFonts w:cs="Arial"/>
          <w:color w:val="000000"/>
          <w:lang w:val="en-GB"/>
        </w:rPr>
        <w:t>specific unlawful occupiers</w:t>
      </w:r>
      <w:r w:rsidR="00685A4D" w:rsidRPr="00EC24F7">
        <w:rPr>
          <w:rFonts w:cs="Arial"/>
          <w:color w:val="000000"/>
          <w:lang w:val="en-GB"/>
        </w:rPr>
        <w:t xml:space="preserve"> to a particular </w:t>
      </w:r>
      <w:r w:rsidR="00DC0C99" w:rsidRPr="00EC24F7">
        <w:rPr>
          <w:rFonts w:cs="Arial"/>
          <w:color w:val="000000"/>
          <w:lang w:val="en-GB"/>
        </w:rPr>
        <w:t xml:space="preserve">incidents of </w:t>
      </w:r>
      <w:r w:rsidR="00685A4D" w:rsidRPr="00EC24F7">
        <w:rPr>
          <w:rFonts w:cs="Arial"/>
          <w:color w:val="000000"/>
          <w:lang w:val="en-GB"/>
        </w:rPr>
        <w:t xml:space="preserve">crime. </w:t>
      </w:r>
      <w:r w:rsidR="00CE1767" w:rsidRPr="00EC24F7">
        <w:rPr>
          <w:rFonts w:cs="Arial"/>
          <w:color w:val="000000"/>
          <w:lang w:val="en-GB"/>
        </w:rPr>
        <w:t xml:space="preserve"> </w:t>
      </w:r>
      <w:r w:rsidR="00985247" w:rsidRPr="00EC24F7">
        <w:rPr>
          <w:rFonts w:cs="Arial"/>
          <w:color w:val="000000"/>
          <w:lang w:val="en-GB"/>
        </w:rPr>
        <w:t xml:space="preserve">It bears emphasis that a </w:t>
      </w:r>
      <w:r w:rsidR="00361492">
        <w:rPr>
          <w:rFonts w:cs="Arial"/>
          <w:color w:val="000000"/>
          <w:lang w:val="en-GB"/>
        </w:rPr>
        <w:t>F</w:t>
      </w:r>
      <w:r w:rsidR="00985247" w:rsidRPr="00EC24F7">
        <w:rPr>
          <w:rFonts w:cs="Arial"/>
          <w:color w:val="000000"/>
          <w:lang w:val="en-GB"/>
        </w:rPr>
        <w:t xml:space="preserve">ull </w:t>
      </w:r>
      <w:r w:rsidR="00361492">
        <w:rPr>
          <w:rFonts w:cs="Arial"/>
          <w:color w:val="000000"/>
          <w:lang w:val="en-GB"/>
        </w:rPr>
        <w:t>B</w:t>
      </w:r>
      <w:r w:rsidR="00985247" w:rsidRPr="00EC24F7">
        <w:rPr>
          <w:rFonts w:cs="Arial"/>
          <w:color w:val="000000"/>
          <w:lang w:val="en-GB"/>
        </w:rPr>
        <w:t xml:space="preserve">ench of this Division has held that the presumption of innocence </w:t>
      </w:r>
      <w:r w:rsidR="007A2491" w:rsidRPr="00EC24F7">
        <w:rPr>
          <w:rFonts w:cs="Arial"/>
          <w:color w:val="000000"/>
          <w:lang w:val="en-GB"/>
        </w:rPr>
        <w:t>applies only in the context of criminal proceedings and thus there is no such presumption in civil proceedings.</w:t>
      </w:r>
      <w:r w:rsidR="007A2491" w:rsidRPr="00EC24F7">
        <w:rPr>
          <w:rStyle w:val="FootnoteReference"/>
          <w:rFonts w:cs="Arial"/>
          <w:color w:val="000000"/>
          <w:lang w:val="en-GB"/>
        </w:rPr>
        <w:footnoteReference w:id="68"/>
      </w:r>
    </w:p>
    <w:p w14:paraId="51FF6B82" w14:textId="0A3E515A" w:rsidR="004E0E77" w:rsidRPr="00EC24F7" w:rsidRDefault="00484E2F" w:rsidP="00700F8D">
      <w:pPr>
        <w:pStyle w:val="ListParagraph"/>
        <w:numPr>
          <w:ilvl w:val="0"/>
          <w:numId w:val="2"/>
        </w:numPr>
        <w:spacing w:before="120" w:beforeAutospacing="0" w:after="360" w:afterAutospacing="0" w:line="480" w:lineRule="auto"/>
        <w:jc w:val="both"/>
        <w:rPr>
          <w:rFonts w:cs="Arial"/>
          <w:color w:val="000000"/>
          <w:lang w:val="en-GB"/>
        </w:rPr>
      </w:pPr>
      <w:r w:rsidRPr="00EC24F7">
        <w:rPr>
          <w:rFonts w:cs="Arial"/>
          <w:color w:val="000000"/>
          <w:lang w:val="en-GB"/>
        </w:rPr>
        <w:t>On a conspectus of the evidence and i</w:t>
      </w:r>
      <w:r w:rsidR="009E1AFF" w:rsidRPr="00EC24F7">
        <w:rPr>
          <w:rFonts w:cs="Arial"/>
          <w:color w:val="000000"/>
          <w:lang w:val="en-GB"/>
        </w:rPr>
        <w:t xml:space="preserve">n circumstances where the City’s averments stand uncontroverted by the only persons who would have the requisite knowledge to do so, </w:t>
      </w:r>
      <w:r w:rsidR="007F438E" w:rsidRPr="00EC24F7">
        <w:rPr>
          <w:rFonts w:cs="Arial"/>
          <w:color w:val="000000"/>
          <w:lang w:val="en-GB"/>
        </w:rPr>
        <w:t xml:space="preserve">the most plausible </w:t>
      </w:r>
      <w:r w:rsidR="000023CE" w:rsidRPr="00EC24F7">
        <w:rPr>
          <w:rFonts w:cs="Arial"/>
        </w:rPr>
        <w:t>or probable inference</w:t>
      </w:r>
      <w:r w:rsidR="00A677B1" w:rsidRPr="00EC24F7">
        <w:rPr>
          <w:rFonts w:cs="Arial"/>
        </w:rPr>
        <w:t xml:space="preserve"> to be drawn having regard to </w:t>
      </w:r>
      <w:r w:rsidR="00A677B1" w:rsidRPr="00EC24F7">
        <w:rPr>
          <w:rFonts w:cs="Arial"/>
          <w:color w:val="000000"/>
          <w:lang w:val="en-GB"/>
        </w:rPr>
        <w:t xml:space="preserve">the lack of proximity to employment opportunities coupled </w:t>
      </w:r>
      <w:r w:rsidR="00A677B1" w:rsidRPr="00EC24F7">
        <w:rPr>
          <w:rFonts w:cs="Arial"/>
          <w:color w:val="000000"/>
          <w:lang w:val="en-GB"/>
        </w:rPr>
        <w:lastRenderedPageBreak/>
        <w:t>with numerous criminal incidents in close proximity of the property is that the occupation of the properties serves as a base for criminal activity</w:t>
      </w:r>
      <w:r w:rsidR="000844F0" w:rsidRPr="00EC24F7">
        <w:rPr>
          <w:rFonts w:cs="Arial"/>
          <w:color w:val="000000"/>
          <w:lang w:val="en-GB"/>
        </w:rPr>
        <w:t xml:space="preserve"> and given that nobody else lives there other than the unlawful occupiers the most reasonable inference to be drawn is that these incidents are perpetrated by the unlawful occupiers.</w:t>
      </w:r>
      <w:r w:rsidR="00320BAB" w:rsidRPr="00EC24F7">
        <w:rPr>
          <w:rFonts w:cs="Arial"/>
          <w:color w:val="000000"/>
          <w:lang w:val="en-GB"/>
        </w:rPr>
        <w:t xml:space="preserve"> </w:t>
      </w:r>
    </w:p>
    <w:p w14:paraId="62A64667" w14:textId="5EB31351" w:rsidR="00700F8D" w:rsidRPr="00EC24F7" w:rsidRDefault="0066358E" w:rsidP="0066358E">
      <w:pPr>
        <w:pStyle w:val="Heading1"/>
        <w:rPr>
          <w:rFonts w:cs="Arial"/>
          <w:szCs w:val="24"/>
          <w:lang w:val="en-GB"/>
        </w:rPr>
      </w:pPr>
      <w:bookmarkStart w:id="5" w:name="_Toc225751545"/>
      <w:bookmarkStart w:id="6" w:name="_Toc226040123"/>
      <w:r w:rsidRPr="00EC24F7">
        <w:rPr>
          <w:rFonts w:cs="Arial"/>
          <w:caps w:val="0"/>
          <w:szCs w:val="24"/>
          <w:lang w:val="en-GB"/>
        </w:rPr>
        <w:t>THERE IS NO ABSOLUTE REQUIREMENT TO PROVIDE EMERGENCY HOUSING</w:t>
      </w:r>
      <w:bookmarkEnd w:id="5"/>
      <w:bookmarkEnd w:id="6"/>
    </w:p>
    <w:p w14:paraId="46B18A6D" w14:textId="37B9E346" w:rsidR="00CE2DBB" w:rsidRPr="00EC24F7" w:rsidRDefault="0097778B" w:rsidP="00B2715F">
      <w:pPr>
        <w:pStyle w:val="ListParagraph"/>
        <w:numPr>
          <w:ilvl w:val="0"/>
          <w:numId w:val="2"/>
        </w:numPr>
        <w:spacing w:before="120" w:beforeAutospacing="0" w:after="360" w:afterAutospacing="0" w:line="480" w:lineRule="auto"/>
        <w:jc w:val="both"/>
        <w:rPr>
          <w:rFonts w:cs="Arial"/>
        </w:rPr>
      </w:pPr>
      <w:r w:rsidRPr="00EC24F7">
        <w:rPr>
          <w:rFonts w:cs="Arial"/>
        </w:rPr>
        <w:t>The</w:t>
      </w:r>
      <w:r w:rsidR="00B2715F" w:rsidRPr="00EC24F7">
        <w:rPr>
          <w:rFonts w:cs="Arial"/>
        </w:rPr>
        <w:t xml:space="preserve"> </w:t>
      </w:r>
      <w:r w:rsidR="003F27D3" w:rsidRPr="00EC24F7">
        <w:rPr>
          <w:rFonts w:cs="Arial"/>
        </w:rPr>
        <w:t>unlawful</w:t>
      </w:r>
      <w:r w:rsidRPr="00EC24F7">
        <w:rPr>
          <w:rFonts w:cs="Arial"/>
        </w:rPr>
        <w:t xml:space="preserve"> occupiers</w:t>
      </w:r>
      <w:r w:rsidR="00B2715F" w:rsidRPr="00EC24F7">
        <w:rPr>
          <w:rFonts w:cs="Arial"/>
        </w:rPr>
        <w:t xml:space="preserve"> and Transnet</w:t>
      </w:r>
      <w:r w:rsidRPr="00EC24F7">
        <w:rPr>
          <w:rFonts w:cs="Arial"/>
        </w:rPr>
        <w:t xml:space="preserve"> </w:t>
      </w:r>
      <w:r w:rsidR="00CE2DBB" w:rsidRPr="00EC24F7">
        <w:rPr>
          <w:rFonts w:cs="Arial"/>
        </w:rPr>
        <w:t xml:space="preserve">proceed from the mistaken premise that </w:t>
      </w:r>
      <w:r w:rsidR="00EB45D1" w:rsidRPr="00EC24F7">
        <w:rPr>
          <w:rFonts w:cs="Arial"/>
        </w:rPr>
        <w:t xml:space="preserve">an eviction can never be just and equitable </w:t>
      </w:r>
      <w:r w:rsidR="00CE2DBB" w:rsidRPr="00EC24F7">
        <w:rPr>
          <w:rFonts w:cs="Arial"/>
        </w:rPr>
        <w:t xml:space="preserve">in the absence of an offer of emergency housing, </w:t>
      </w:r>
      <w:r w:rsidR="00EB45D1" w:rsidRPr="00EC24F7">
        <w:rPr>
          <w:rFonts w:cs="Arial"/>
        </w:rPr>
        <w:t>if the</w:t>
      </w:r>
      <w:r w:rsidR="00CE2DBB" w:rsidRPr="00EC24F7">
        <w:rPr>
          <w:rFonts w:cs="Arial"/>
        </w:rPr>
        <w:t xml:space="preserve"> eviction is likely to result in homelessness</w:t>
      </w:r>
      <w:r w:rsidR="00EB45D1" w:rsidRPr="00EC24F7">
        <w:rPr>
          <w:rFonts w:cs="Arial"/>
        </w:rPr>
        <w:t>.  These contentions are not consonant with the settled jurisprudence of the Superior Courts</w:t>
      </w:r>
      <w:r w:rsidR="006B5CD5" w:rsidRPr="00EC24F7">
        <w:rPr>
          <w:rFonts w:cs="Arial"/>
        </w:rPr>
        <w:t xml:space="preserve"> and in fact would</w:t>
      </w:r>
      <w:r w:rsidR="00CD007B">
        <w:rPr>
          <w:rFonts w:cs="Arial"/>
        </w:rPr>
        <w:t>,</w:t>
      </w:r>
      <w:r w:rsidR="006B5CD5" w:rsidRPr="00EC24F7">
        <w:rPr>
          <w:rFonts w:cs="Arial"/>
        </w:rPr>
        <w:t xml:space="preserve"> if accepted</w:t>
      </w:r>
      <w:r w:rsidR="00CD007B">
        <w:rPr>
          <w:rFonts w:cs="Arial"/>
        </w:rPr>
        <w:t>,</w:t>
      </w:r>
      <w:r w:rsidR="006B5CD5" w:rsidRPr="00EC24F7">
        <w:rPr>
          <w:rFonts w:cs="Arial"/>
        </w:rPr>
        <w:t xml:space="preserve"> impermissibly </w:t>
      </w:r>
      <w:r w:rsidR="00367D51" w:rsidRPr="00EC24F7">
        <w:rPr>
          <w:rFonts w:cs="Arial"/>
        </w:rPr>
        <w:t xml:space="preserve">impinge on the </w:t>
      </w:r>
      <w:r w:rsidR="00CD007B">
        <w:rPr>
          <w:rFonts w:cs="Arial"/>
        </w:rPr>
        <w:t>C</w:t>
      </w:r>
      <w:r w:rsidR="00367D51" w:rsidRPr="00EC24F7">
        <w:rPr>
          <w:rFonts w:cs="Arial"/>
        </w:rPr>
        <w:t xml:space="preserve">ourt’s ability to engage in the just and equitable enquiry required by PIE. </w:t>
      </w:r>
    </w:p>
    <w:p w14:paraId="69E4CB55" w14:textId="1767E432" w:rsidR="00A37D90" w:rsidRPr="00EC24F7" w:rsidRDefault="009359D6" w:rsidP="006726F1">
      <w:pPr>
        <w:pStyle w:val="ListParagraph"/>
        <w:numPr>
          <w:ilvl w:val="0"/>
          <w:numId w:val="2"/>
        </w:numPr>
        <w:spacing w:before="120" w:beforeAutospacing="0" w:after="360" w:afterAutospacing="0" w:line="480" w:lineRule="auto"/>
        <w:jc w:val="both"/>
        <w:rPr>
          <w:rFonts w:cs="Arial"/>
        </w:rPr>
      </w:pPr>
      <w:r w:rsidRPr="00EC24F7">
        <w:rPr>
          <w:rFonts w:cs="Arial"/>
          <w:color w:val="242121"/>
          <w:shd w:val="clear" w:color="auto" w:fill="FFFFFF"/>
        </w:rPr>
        <w:t xml:space="preserve">Where </w:t>
      </w:r>
      <w:r w:rsidR="006D3B5E">
        <w:rPr>
          <w:rFonts w:cs="Arial"/>
          <w:color w:val="242121"/>
          <w:shd w:val="clear" w:color="auto" w:fill="FFFFFF"/>
        </w:rPr>
        <w:t>an</w:t>
      </w:r>
      <w:r w:rsidRPr="00EC24F7">
        <w:rPr>
          <w:rFonts w:cs="Arial"/>
          <w:color w:val="242121"/>
          <w:shd w:val="clear" w:color="auto" w:fill="FFFFFF"/>
        </w:rPr>
        <w:t xml:space="preserve"> eviction takes place at the instance of an organ of State in circumstances to which PIE applies, the </w:t>
      </w:r>
      <w:r w:rsidR="006D3B5E">
        <w:rPr>
          <w:rFonts w:cs="Arial"/>
          <w:color w:val="242121"/>
          <w:shd w:val="clear" w:color="auto" w:fill="FFFFFF"/>
        </w:rPr>
        <w:t>C</w:t>
      </w:r>
      <w:r w:rsidRPr="00EC24F7">
        <w:rPr>
          <w:rFonts w:cs="Arial"/>
          <w:color w:val="242121"/>
          <w:shd w:val="clear" w:color="auto" w:fill="FFFFFF"/>
        </w:rPr>
        <w:t xml:space="preserve">ourt can only order eviction if it is satisfied that it is just and equitable to do so after having regard to </w:t>
      </w:r>
      <w:r w:rsidRPr="00EC24F7">
        <w:rPr>
          <w:rFonts w:cs="Arial"/>
          <w:color w:val="242121"/>
          <w:u w:val="single"/>
          <w:shd w:val="clear" w:color="auto" w:fill="FFFFFF"/>
        </w:rPr>
        <w:t>all</w:t>
      </w:r>
      <w:r w:rsidRPr="00EC24F7">
        <w:rPr>
          <w:rFonts w:cs="Arial"/>
          <w:color w:val="242121"/>
          <w:shd w:val="clear" w:color="auto" w:fill="FFFFFF"/>
        </w:rPr>
        <w:t xml:space="preserve"> relevant factors</w:t>
      </w:r>
      <w:r w:rsidR="00803BC4" w:rsidRPr="00EC24F7">
        <w:rPr>
          <w:rFonts w:cs="Arial"/>
          <w:color w:val="242121"/>
          <w:shd w:val="clear" w:color="auto" w:fill="FFFFFF"/>
        </w:rPr>
        <w:t xml:space="preserve">, including, </w:t>
      </w:r>
      <w:r w:rsidR="00803BC4" w:rsidRPr="00EC24F7">
        <w:rPr>
          <w:rFonts w:cs="Arial"/>
          <w:i/>
          <w:iCs/>
          <w:color w:val="242121"/>
          <w:shd w:val="clear" w:color="auto" w:fill="FFFFFF"/>
        </w:rPr>
        <w:t>inter alia</w:t>
      </w:r>
      <w:r w:rsidR="00803BC4" w:rsidRPr="00EC24F7">
        <w:rPr>
          <w:rFonts w:cs="Arial"/>
          <w:color w:val="242121"/>
          <w:shd w:val="clear" w:color="auto" w:fill="FFFFFF"/>
        </w:rPr>
        <w:t>,</w:t>
      </w:r>
      <w:r w:rsidR="00803BC4" w:rsidRPr="00EC24F7">
        <w:rPr>
          <w:rFonts w:cs="Arial"/>
          <w:i/>
          <w:iCs/>
          <w:color w:val="242121"/>
          <w:shd w:val="clear" w:color="auto" w:fill="FFFFFF"/>
        </w:rPr>
        <w:t xml:space="preserve"> </w:t>
      </w:r>
      <w:r w:rsidR="00803BC4" w:rsidRPr="00EC24F7">
        <w:rPr>
          <w:rFonts w:cs="Arial"/>
          <w:color w:val="242121"/>
          <w:shd w:val="clear" w:color="auto" w:fill="FFFFFF"/>
        </w:rPr>
        <w:t>the circumstances in which the occupiers came to occupy the land and the availability of suitable alternative accommodation</w:t>
      </w:r>
      <w:r w:rsidR="00803BC4" w:rsidRPr="00EC24F7">
        <w:rPr>
          <w:rFonts w:cs="Arial"/>
          <w:i/>
          <w:iCs/>
          <w:color w:val="242121"/>
          <w:shd w:val="clear" w:color="auto" w:fill="FFFFFF"/>
        </w:rPr>
        <w:t>.</w:t>
      </w:r>
      <w:r w:rsidRPr="00EC24F7">
        <w:rPr>
          <w:rStyle w:val="FootnoteReference"/>
          <w:rFonts w:cs="Arial"/>
        </w:rPr>
        <w:footnoteReference w:id="69"/>
      </w:r>
      <w:r w:rsidR="004A72E8" w:rsidRPr="00EC24F7">
        <w:rPr>
          <w:rFonts w:cs="Arial"/>
          <w:color w:val="242121"/>
          <w:shd w:val="clear" w:color="auto" w:fill="FFFFFF"/>
        </w:rPr>
        <w:t xml:space="preserve">  Although the availability of suitable alternative accommodation</w:t>
      </w:r>
      <w:r w:rsidR="00203242" w:rsidRPr="00EC24F7">
        <w:rPr>
          <w:rFonts w:cs="Arial"/>
          <w:color w:val="242121"/>
          <w:shd w:val="clear" w:color="auto" w:fill="FFFFFF"/>
        </w:rPr>
        <w:t xml:space="preserve"> is a crucial factor in the </w:t>
      </w:r>
      <w:r w:rsidR="006726F1" w:rsidRPr="00EC24F7">
        <w:rPr>
          <w:rFonts w:cs="Arial"/>
          <w:color w:val="242121"/>
          <w:shd w:val="clear" w:color="auto" w:fill="FFFFFF"/>
        </w:rPr>
        <w:t xml:space="preserve">just and equitable </w:t>
      </w:r>
      <w:r w:rsidR="00203242" w:rsidRPr="00EC24F7">
        <w:rPr>
          <w:rFonts w:cs="Arial"/>
          <w:color w:val="242121"/>
          <w:shd w:val="clear" w:color="auto" w:fill="FFFFFF"/>
        </w:rPr>
        <w:t>enquiry</w:t>
      </w:r>
      <w:r w:rsidR="006726F1" w:rsidRPr="00EC24F7">
        <w:rPr>
          <w:rFonts w:cs="Arial"/>
          <w:color w:val="242121"/>
          <w:shd w:val="clear" w:color="auto" w:fill="FFFFFF"/>
        </w:rPr>
        <w:t>,</w:t>
      </w:r>
      <w:r w:rsidR="009207A4" w:rsidRPr="00EC24F7">
        <w:rPr>
          <w:rFonts w:cs="Arial"/>
          <w:i/>
          <w:iCs/>
          <w:color w:val="242121"/>
          <w:shd w:val="clear" w:color="auto" w:fill="FFFFFF"/>
        </w:rPr>
        <w:t xml:space="preserve"> </w:t>
      </w:r>
      <w:r w:rsidR="004616D8" w:rsidRPr="00EC24F7">
        <w:rPr>
          <w:rFonts w:cs="Arial"/>
          <w:color w:val="242121"/>
          <w:shd w:val="clear" w:color="auto" w:fill="FFFFFF"/>
        </w:rPr>
        <w:t>the Supreme Court of Appeal in</w:t>
      </w:r>
      <w:r w:rsidR="004616D8" w:rsidRPr="00EC24F7">
        <w:rPr>
          <w:rFonts w:cs="Arial"/>
          <w:i/>
          <w:iCs/>
        </w:rPr>
        <w:t xml:space="preserve"> Changing Tides</w:t>
      </w:r>
      <w:r w:rsidR="004616D8" w:rsidRPr="00EC24F7">
        <w:rPr>
          <w:rFonts w:cs="Arial"/>
          <w:color w:val="242121"/>
          <w:shd w:val="clear" w:color="auto" w:fill="FFFFFF"/>
        </w:rPr>
        <w:t xml:space="preserve"> has made it clear that this</w:t>
      </w:r>
      <w:r w:rsidR="009207A4" w:rsidRPr="00EC24F7">
        <w:rPr>
          <w:rFonts w:cs="Arial"/>
          <w:color w:val="242121"/>
          <w:shd w:val="clear" w:color="auto" w:fill="FFFFFF"/>
        </w:rPr>
        <w:t xml:space="preserve"> cannot, however, be the sole enquiry nor, notwithstanding its importance, is it absolutely decisive</w:t>
      </w:r>
      <w:r w:rsidR="004616D8" w:rsidRPr="00EC24F7">
        <w:rPr>
          <w:rFonts w:cs="Arial"/>
          <w:color w:val="242121"/>
          <w:shd w:val="clear" w:color="auto" w:fill="FFFFFF"/>
        </w:rPr>
        <w:t>.</w:t>
      </w:r>
      <w:r w:rsidR="004616D8" w:rsidRPr="00EC24F7">
        <w:rPr>
          <w:rStyle w:val="FootnoteReference"/>
          <w:rFonts w:cs="Arial"/>
          <w:color w:val="242121"/>
          <w:shd w:val="clear" w:color="auto" w:fill="FFFFFF"/>
        </w:rPr>
        <w:footnoteReference w:id="70"/>
      </w:r>
      <w:r w:rsidR="00AF6146" w:rsidRPr="00EC24F7">
        <w:rPr>
          <w:rFonts w:cs="Arial"/>
          <w:color w:val="242121"/>
          <w:shd w:val="clear" w:color="auto" w:fill="FFFFFF"/>
        </w:rPr>
        <w:t xml:space="preserve">  </w:t>
      </w:r>
    </w:p>
    <w:p w14:paraId="56F860D4" w14:textId="00AC2473" w:rsidR="00593978" w:rsidRPr="00EC24F7" w:rsidRDefault="007E6BC8" w:rsidP="00593978">
      <w:pPr>
        <w:pStyle w:val="ListParagraph"/>
        <w:numPr>
          <w:ilvl w:val="0"/>
          <w:numId w:val="2"/>
        </w:numPr>
        <w:spacing w:before="360" w:beforeAutospacing="0" w:after="360" w:afterAutospacing="0" w:line="480" w:lineRule="auto"/>
        <w:jc w:val="both"/>
        <w:rPr>
          <w:rFonts w:cs="Arial"/>
          <w:color w:val="000000" w:themeColor="text1"/>
          <w:lang w:val="en-GB"/>
        </w:rPr>
      </w:pPr>
      <w:r w:rsidRPr="00EC24F7">
        <w:rPr>
          <w:rFonts w:cs="Arial"/>
          <w:color w:val="242121"/>
          <w:shd w:val="clear" w:color="auto" w:fill="FFFFFF"/>
        </w:rPr>
        <w:lastRenderedPageBreak/>
        <w:t xml:space="preserve">Moreover, the Constitutional Court </w:t>
      </w:r>
      <w:r w:rsidR="00A37D90" w:rsidRPr="00EC24F7">
        <w:rPr>
          <w:rFonts w:cs="Arial"/>
        </w:rPr>
        <w:t xml:space="preserve">has </w:t>
      </w:r>
      <w:r w:rsidR="006532E2" w:rsidRPr="00EC24F7">
        <w:rPr>
          <w:rFonts w:cs="Arial"/>
        </w:rPr>
        <w:t xml:space="preserve">stated that </w:t>
      </w:r>
      <w:r w:rsidR="00314893" w:rsidRPr="00EC24F7">
        <w:rPr>
          <w:rFonts w:cs="Arial"/>
        </w:rPr>
        <w:t>given the extent of housing need in South Africa and limited resources</w:t>
      </w:r>
      <w:r w:rsidR="00DF7BC1" w:rsidRPr="00EC24F7">
        <w:rPr>
          <w:rFonts w:cs="Arial"/>
        </w:rPr>
        <w:t>, there cannot be an absolute right to be provided with accommodation</w:t>
      </w:r>
      <w:r w:rsidR="00CA1400" w:rsidRPr="00EC24F7">
        <w:rPr>
          <w:rFonts w:cs="Arial"/>
        </w:rPr>
        <w:t>,</w:t>
      </w:r>
      <w:r w:rsidR="00CA1400" w:rsidRPr="00EC24F7">
        <w:rPr>
          <w:rStyle w:val="FootnoteReference"/>
          <w:rFonts w:cs="Arial"/>
        </w:rPr>
        <w:footnoteReference w:id="71"/>
      </w:r>
      <w:r w:rsidR="00CA1400" w:rsidRPr="00EC24F7">
        <w:rPr>
          <w:rFonts w:cs="Arial"/>
        </w:rPr>
        <w:t xml:space="preserve"> nor is there an unqualified constitutional duty on local authorities to ensure that there cannot be an eviction unless alternative accommodation has been made available.</w:t>
      </w:r>
      <w:r w:rsidR="002E663E" w:rsidRPr="00EC24F7">
        <w:rPr>
          <w:rStyle w:val="FootnoteReference"/>
          <w:rFonts w:cs="Arial"/>
        </w:rPr>
        <w:footnoteReference w:id="72"/>
      </w:r>
      <w:r w:rsidR="002165C9" w:rsidRPr="00EC24F7">
        <w:rPr>
          <w:rFonts w:cs="Arial"/>
        </w:rPr>
        <w:t xml:space="preserve">  There is no provision either in s 26(3) of the </w:t>
      </w:r>
      <w:r w:rsidR="00296CB3" w:rsidRPr="00EC24F7">
        <w:rPr>
          <w:rFonts w:cs="Arial"/>
        </w:rPr>
        <w:t>Constitution</w:t>
      </w:r>
      <w:r w:rsidR="002165C9" w:rsidRPr="00EC24F7">
        <w:rPr>
          <w:rFonts w:cs="Arial"/>
        </w:rPr>
        <w:t xml:space="preserve"> or in PIE itself that </w:t>
      </w:r>
      <w:r w:rsidR="00820DDB" w:rsidRPr="00EC24F7">
        <w:rPr>
          <w:rFonts w:cs="Arial"/>
        </w:rPr>
        <w:t>establishes</w:t>
      </w:r>
      <w:r w:rsidR="001A2E44" w:rsidRPr="00EC24F7">
        <w:rPr>
          <w:rFonts w:cs="Arial"/>
        </w:rPr>
        <w:t xml:space="preserve"> </w:t>
      </w:r>
      <w:r w:rsidR="001A2E44" w:rsidRPr="00EC24F7">
        <w:rPr>
          <w:rFonts w:cs="Arial"/>
          <w:color w:val="242121"/>
          <w:shd w:val="clear" w:color="auto" w:fill="FFFFFF"/>
        </w:rPr>
        <w:t>an absolute or unqualified entitlement to be provided with accommodation including emergency housing</w:t>
      </w:r>
      <w:r w:rsidR="00820DDB" w:rsidRPr="00EC24F7">
        <w:rPr>
          <w:rFonts w:cs="Arial"/>
          <w:color w:val="242121"/>
          <w:shd w:val="clear" w:color="auto" w:fill="FFFFFF"/>
        </w:rPr>
        <w:t>,</w:t>
      </w:r>
      <w:r w:rsidR="001A2E44" w:rsidRPr="00EC24F7">
        <w:rPr>
          <w:rStyle w:val="FootnoteReference"/>
          <w:rFonts w:cs="Arial"/>
          <w:color w:val="242121"/>
          <w:shd w:val="clear" w:color="auto" w:fill="FFFFFF"/>
        </w:rPr>
        <w:footnoteReference w:id="73"/>
      </w:r>
      <w:r w:rsidR="001A2E44" w:rsidRPr="00EC24F7">
        <w:rPr>
          <w:rFonts w:cs="Arial"/>
          <w:color w:val="242121"/>
          <w:shd w:val="clear" w:color="auto" w:fill="FFFFFF"/>
        </w:rPr>
        <w:t xml:space="preserve">  Al</w:t>
      </w:r>
      <w:r w:rsidR="00820DDB" w:rsidRPr="00EC24F7">
        <w:rPr>
          <w:rFonts w:cs="Arial"/>
          <w:color w:val="242121"/>
          <w:shd w:val="clear" w:color="auto" w:fill="FFFFFF"/>
        </w:rPr>
        <w:t xml:space="preserve">beit that </w:t>
      </w:r>
      <w:r w:rsidR="00EF7E18" w:rsidRPr="00EC24F7">
        <w:rPr>
          <w:rFonts w:cs="Arial"/>
          <w:color w:val="242121"/>
          <w:shd w:val="clear" w:color="auto" w:fill="FFFFFF"/>
        </w:rPr>
        <w:t xml:space="preserve">an eviction where no alternative accommodation is provided is less likely to be just and equitable than one that </w:t>
      </w:r>
      <w:r w:rsidR="00EC5D7C" w:rsidRPr="00EC24F7">
        <w:rPr>
          <w:rFonts w:cs="Arial"/>
          <w:color w:val="242121"/>
          <w:shd w:val="clear" w:color="auto" w:fill="FFFFFF"/>
        </w:rPr>
        <w:t>where alternative accommodation is provided.</w:t>
      </w:r>
      <w:r w:rsidR="00EC5D7C" w:rsidRPr="00EC24F7">
        <w:rPr>
          <w:rStyle w:val="FootnoteReference"/>
          <w:rFonts w:cs="Arial"/>
          <w:color w:val="242121"/>
          <w:shd w:val="clear" w:color="auto" w:fill="FFFFFF"/>
        </w:rPr>
        <w:footnoteReference w:id="74"/>
      </w:r>
      <w:r w:rsidR="00513EB3" w:rsidRPr="00EC24F7">
        <w:rPr>
          <w:rFonts w:cs="Arial"/>
          <w:color w:val="242121"/>
          <w:shd w:val="clear" w:color="auto" w:fill="FFFFFF"/>
        </w:rPr>
        <w:t xml:space="preserve">  </w:t>
      </w:r>
      <w:r w:rsidR="008A046C" w:rsidRPr="00EC24F7">
        <w:rPr>
          <w:rFonts w:cs="Arial"/>
          <w:color w:val="242121"/>
          <w:shd w:val="clear" w:color="auto" w:fill="FFFFFF"/>
        </w:rPr>
        <w:t>Because s</w:t>
      </w:r>
      <w:r w:rsidR="00A610BE" w:rsidRPr="00EC24F7">
        <w:rPr>
          <w:rFonts w:cs="Arial"/>
          <w:color w:val="242121"/>
          <w:shd w:val="clear" w:color="auto" w:fill="FFFFFF"/>
        </w:rPr>
        <w:t> </w:t>
      </w:r>
      <w:r w:rsidR="00A610BE" w:rsidRPr="00EC24F7">
        <w:rPr>
          <w:rFonts w:cs="Arial"/>
        </w:rPr>
        <w:t>26(2) of the Constitution requires that the response of any municipality to potentially homeless people must be reasonable</w:t>
      </w:r>
      <w:r w:rsidR="00A40DA1" w:rsidRPr="00EC24F7">
        <w:rPr>
          <w:rFonts w:cs="Arial"/>
        </w:rPr>
        <w:t xml:space="preserve">, </w:t>
      </w:r>
      <w:r w:rsidR="00452C91" w:rsidRPr="00EC24F7">
        <w:rPr>
          <w:rFonts w:cs="Arial"/>
        </w:rPr>
        <w:t xml:space="preserve">there are a range of </w:t>
      </w:r>
      <w:r w:rsidR="00CD6799" w:rsidRPr="00EC24F7">
        <w:rPr>
          <w:rFonts w:cs="Arial"/>
        </w:rPr>
        <w:t>appropriate</w:t>
      </w:r>
      <w:r w:rsidR="00446B11" w:rsidRPr="00EC24F7">
        <w:rPr>
          <w:rFonts w:cs="Arial"/>
        </w:rPr>
        <w:t>, reasonable</w:t>
      </w:r>
      <w:r w:rsidR="00CD6799" w:rsidRPr="00EC24F7">
        <w:rPr>
          <w:rFonts w:cs="Arial"/>
        </w:rPr>
        <w:t xml:space="preserve"> responses</w:t>
      </w:r>
      <w:r w:rsidR="00EF2A67" w:rsidRPr="00EC24F7">
        <w:rPr>
          <w:rFonts w:cs="Arial"/>
        </w:rPr>
        <w:t xml:space="preserve"> that can competently be employed depending on the circumstances</w:t>
      </w:r>
      <w:r w:rsidR="00CD6799" w:rsidRPr="00EC24F7">
        <w:rPr>
          <w:rFonts w:cs="Arial"/>
        </w:rPr>
        <w:t xml:space="preserve"> </w:t>
      </w:r>
      <w:r w:rsidR="002E75F2">
        <w:rPr>
          <w:rFonts w:cs="Arial"/>
        </w:rPr>
        <w:t xml:space="preserve">- </w:t>
      </w:r>
      <w:r w:rsidR="00441386" w:rsidRPr="00EC24F7">
        <w:rPr>
          <w:rFonts w:cs="Arial"/>
        </w:rPr>
        <w:t xml:space="preserve">from making no emergency housing available </w:t>
      </w:r>
      <w:r w:rsidR="009A48F5" w:rsidRPr="00EC24F7">
        <w:rPr>
          <w:rFonts w:cs="Arial"/>
        </w:rPr>
        <w:t xml:space="preserve">at all </w:t>
      </w:r>
      <w:r w:rsidR="00441386" w:rsidRPr="00EC24F7">
        <w:rPr>
          <w:rFonts w:cs="Arial"/>
        </w:rPr>
        <w:t>to providing permanent housing</w:t>
      </w:r>
      <w:r w:rsidR="00446B11" w:rsidRPr="00EC24F7">
        <w:rPr>
          <w:rFonts w:cs="Arial"/>
        </w:rPr>
        <w:t>.</w:t>
      </w:r>
      <w:r w:rsidR="00EF2A67" w:rsidRPr="00EC24F7">
        <w:rPr>
          <w:rStyle w:val="FootnoteReference"/>
          <w:rFonts w:cs="Arial"/>
        </w:rPr>
        <w:footnoteReference w:id="75"/>
      </w:r>
      <w:r w:rsidR="007A7523" w:rsidRPr="00EC24F7">
        <w:rPr>
          <w:rFonts w:cs="Arial"/>
        </w:rPr>
        <w:t xml:space="preserve">  What is required is for the Court to carefully consider all relevant circumstances in every matter in order to determine the appropriate just and equitable order.  </w:t>
      </w:r>
      <w:r w:rsidR="009502F7" w:rsidRPr="00EC24F7">
        <w:rPr>
          <w:rFonts w:cs="Arial"/>
        </w:rPr>
        <w:t>W</w:t>
      </w:r>
      <w:r w:rsidR="00593978" w:rsidRPr="00EC24F7">
        <w:rPr>
          <w:rFonts w:cs="Arial"/>
          <w:color w:val="000000" w:themeColor="text1"/>
          <w:lang w:val="en-GB"/>
        </w:rPr>
        <w:t xml:space="preserve">here </w:t>
      </w:r>
      <w:r w:rsidR="00593978" w:rsidRPr="00EC24F7">
        <w:rPr>
          <w:rFonts w:cs="Arial"/>
        </w:rPr>
        <w:t>a risk that eviction may result in homelessness, the availability of alternative accommodation is a relevant circumstance that must be taken into account</w:t>
      </w:r>
      <w:r w:rsidR="00D6390B" w:rsidRPr="00EC24F7">
        <w:rPr>
          <w:rFonts w:cs="Arial"/>
        </w:rPr>
        <w:t>.</w:t>
      </w:r>
      <w:r w:rsidR="00D6390B" w:rsidRPr="00EC24F7">
        <w:rPr>
          <w:rStyle w:val="FootnoteReference"/>
          <w:rFonts w:cs="Arial"/>
        </w:rPr>
        <w:footnoteReference w:id="76"/>
      </w:r>
      <w:r w:rsidR="00D6390B" w:rsidRPr="00EC24F7">
        <w:rPr>
          <w:rFonts w:cs="Arial"/>
        </w:rPr>
        <w:t xml:space="preserve">  Because there </w:t>
      </w:r>
      <w:r w:rsidR="00D6390B" w:rsidRPr="00EC24F7">
        <w:rPr>
          <w:rFonts w:cs="Arial"/>
          <w:u w:val="single"/>
        </w:rPr>
        <w:t>may</w:t>
      </w:r>
      <w:r w:rsidR="00D6390B" w:rsidRPr="00EC24F7">
        <w:rPr>
          <w:rFonts w:cs="Arial"/>
        </w:rPr>
        <w:t xml:space="preserve"> be a duty on a the local authority to provide temporary </w:t>
      </w:r>
      <w:r w:rsidR="00D6390B" w:rsidRPr="00EC24F7">
        <w:rPr>
          <w:rFonts w:cs="Arial"/>
        </w:rPr>
        <w:lastRenderedPageBreak/>
        <w:t xml:space="preserve">emergency accommodation a </w:t>
      </w:r>
      <w:r w:rsidR="00A43202">
        <w:rPr>
          <w:rFonts w:cs="Arial"/>
        </w:rPr>
        <w:t>C</w:t>
      </w:r>
      <w:r w:rsidR="00D6390B" w:rsidRPr="00EC24F7">
        <w:rPr>
          <w:rFonts w:cs="Arial"/>
        </w:rPr>
        <w:t>ourt cannot determine the justice and equity of an eviction without hearing from the local authority</w:t>
      </w:r>
      <w:r w:rsidR="00593978" w:rsidRPr="00EC24F7">
        <w:rPr>
          <w:rFonts w:cs="Arial"/>
        </w:rPr>
        <w:t>.</w:t>
      </w:r>
      <w:r w:rsidR="00593978" w:rsidRPr="00EC24F7">
        <w:rPr>
          <w:rStyle w:val="FootnoteReference"/>
          <w:rFonts w:cs="Arial"/>
        </w:rPr>
        <w:footnoteReference w:id="77"/>
      </w:r>
      <w:r w:rsidR="00593978" w:rsidRPr="00EC24F7">
        <w:rPr>
          <w:rFonts w:cs="Arial"/>
        </w:rPr>
        <w:t xml:space="preserve">  </w:t>
      </w:r>
    </w:p>
    <w:p w14:paraId="15EC7D13" w14:textId="30886948" w:rsidR="00F2578B" w:rsidRPr="00EC24F7" w:rsidRDefault="00F2578B" w:rsidP="00D6390B">
      <w:pPr>
        <w:pStyle w:val="ListParagraph"/>
        <w:numPr>
          <w:ilvl w:val="0"/>
          <w:numId w:val="2"/>
        </w:numPr>
        <w:spacing w:before="360" w:beforeAutospacing="0" w:after="360" w:afterAutospacing="0" w:line="480" w:lineRule="auto"/>
        <w:jc w:val="both"/>
        <w:rPr>
          <w:rFonts w:cs="Arial"/>
          <w:color w:val="000000" w:themeColor="text1"/>
          <w:lang w:val="en-GB"/>
        </w:rPr>
      </w:pPr>
      <w:r w:rsidRPr="00EC24F7">
        <w:rPr>
          <w:rFonts w:cs="Arial"/>
          <w:color w:val="000000" w:themeColor="text1"/>
          <w:lang w:val="en-GB"/>
        </w:rPr>
        <w:t xml:space="preserve">Both the Constitution and PIE emphasise that the Court must take into account </w:t>
      </w:r>
      <w:r w:rsidRPr="00EC24F7">
        <w:rPr>
          <w:rFonts w:cs="Arial"/>
          <w:color w:val="000000" w:themeColor="text1"/>
          <w:u w:val="single"/>
          <w:lang w:val="en-GB"/>
        </w:rPr>
        <w:t>all relevant factors</w:t>
      </w:r>
      <w:r w:rsidRPr="00EC24F7">
        <w:rPr>
          <w:rFonts w:cs="Arial"/>
          <w:color w:val="000000" w:themeColor="text1"/>
          <w:lang w:val="en-GB"/>
        </w:rPr>
        <w:t xml:space="preserve"> before granting an eviction order.</w:t>
      </w:r>
      <w:r w:rsidR="00A57DB1" w:rsidRPr="00EC24F7">
        <w:rPr>
          <w:rStyle w:val="FootnoteReference"/>
          <w:rFonts w:cs="Arial"/>
          <w:bCs/>
          <w:color w:val="000000" w:themeColor="text1"/>
          <w:lang w:val="en-GB"/>
        </w:rPr>
        <w:footnoteReference w:id="78"/>
      </w:r>
      <w:r w:rsidR="00AC7FB8" w:rsidRPr="00EC24F7">
        <w:rPr>
          <w:rFonts w:cs="Arial"/>
          <w:color w:val="000000" w:themeColor="text1"/>
          <w:lang w:val="en-GB"/>
        </w:rPr>
        <w:t xml:space="preserve">  </w:t>
      </w:r>
      <w:r w:rsidRPr="00EC24F7">
        <w:rPr>
          <w:rFonts w:cs="Arial"/>
          <w:color w:val="000000" w:themeColor="text1"/>
          <w:lang w:val="en-GB"/>
        </w:rPr>
        <w:t>The enquiry to be undertaken is therefore whether, given all the relevant factual, legal and socio-economic circumstances, it is just and equitable to order the eviction of the unlawful occupier</w:t>
      </w:r>
      <w:r w:rsidR="008C2691" w:rsidRPr="00EC24F7">
        <w:rPr>
          <w:rFonts w:cs="Arial"/>
          <w:color w:val="000000" w:themeColor="text1"/>
          <w:lang w:val="en-GB"/>
        </w:rPr>
        <w:t xml:space="preserve"> -</w:t>
      </w:r>
      <w:r w:rsidRPr="00EC24F7">
        <w:rPr>
          <w:rFonts w:cs="Arial"/>
          <w:color w:val="000000" w:themeColor="text1"/>
          <w:lang w:val="en-GB"/>
        </w:rPr>
        <w:t xml:space="preserve"> this requires a Court to make a value judgment, but it must not do so in a vacuum.</w:t>
      </w:r>
      <w:r w:rsidR="00AC7FB8" w:rsidRPr="00EC24F7">
        <w:rPr>
          <w:rStyle w:val="FootnoteReference"/>
          <w:rFonts w:cs="Arial"/>
          <w:bCs/>
          <w:color w:val="000000" w:themeColor="text1"/>
          <w:lang w:val="en-GB"/>
        </w:rPr>
        <w:footnoteReference w:id="79"/>
      </w:r>
      <w:r w:rsidR="00AC7FB8" w:rsidRPr="00EC24F7">
        <w:rPr>
          <w:rFonts w:cs="Arial"/>
          <w:color w:val="000000" w:themeColor="text1"/>
          <w:lang w:val="en-GB"/>
        </w:rPr>
        <w:t xml:space="preserve"> </w:t>
      </w:r>
      <w:r w:rsidR="008C2691" w:rsidRPr="00EC24F7">
        <w:rPr>
          <w:rFonts w:cs="Arial"/>
          <w:color w:val="000000" w:themeColor="text1"/>
          <w:lang w:val="en-GB"/>
        </w:rPr>
        <w:t xml:space="preserve"> The</w:t>
      </w:r>
      <w:r w:rsidRPr="00EC24F7">
        <w:rPr>
          <w:rFonts w:cs="Arial"/>
          <w:color w:val="000000" w:themeColor="text1"/>
          <w:lang w:val="en-GB"/>
        </w:rPr>
        <w:t xml:space="preserve"> factor</w:t>
      </w:r>
      <w:r w:rsidR="008C2691" w:rsidRPr="00EC24F7">
        <w:rPr>
          <w:rFonts w:cs="Arial"/>
          <w:color w:val="000000" w:themeColor="text1"/>
          <w:lang w:val="en-GB"/>
        </w:rPr>
        <w:t>s</w:t>
      </w:r>
      <w:r w:rsidRPr="00EC24F7">
        <w:rPr>
          <w:rFonts w:cs="Arial"/>
          <w:color w:val="000000" w:themeColor="text1"/>
          <w:lang w:val="en-GB"/>
        </w:rPr>
        <w:t xml:space="preserve"> </w:t>
      </w:r>
      <w:r w:rsidR="008C2691" w:rsidRPr="00EC24F7">
        <w:rPr>
          <w:rFonts w:cs="Arial"/>
          <w:color w:val="000000" w:themeColor="text1"/>
          <w:lang w:val="en-GB"/>
        </w:rPr>
        <w:t>to be considered take</w:t>
      </w:r>
      <w:r w:rsidRPr="00EC24F7">
        <w:rPr>
          <w:rFonts w:cs="Arial"/>
          <w:color w:val="000000" w:themeColor="text1"/>
          <w:lang w:val="en-GB"/>
        </w:rPr>
        <w:t xml:space="preserve"> on either an increased or lesser importance depending on the prevailing factual matrix of each matter.</w:t>
      </w:r>
      <w:r w:rsidR="00AC7FB8" w:rsidRPr="00EC24F7">
        <w:rPr>
          <w:rStyle w:val="FootnoteReference"/>
          <w:rFonts w:cs="Arial"/>
          <w:bCs/>
          <w:color w:val="000000" w:themeColor="text1"/>
          <w:lang w:val="en-GB"/>
        </w:rPr>
        <w:footnoteReference w:id="80"/>
      </w:r>
      <w:r w:rsidR="008C2691" w:rsidRPr="00EC24F7">
        <w:rPr>
          <w:rFonts w:eastAsia="MS Gothic" w:cs="Arial"/>
          <w:color w:val="000000" w:themeColor="text1"/>
          <w:lang w:val="en-GB"/>
        </w:rPr>
        <w:t xml:space="preserve">  </w:t>
      </w:r>
    </w:p>
    <w:p w14:paraId="63672F8A" w14:textId="244A57FC" w:rsidR="00393065" w:rsidRPr="00EC24F7" w:rsidRDefault="000E7DDA" w:rsidP="00061C6A">
      <w:pPr>
        <w:pStyle w:val="ListParagraph"/>
        <w:numPr>
          <w:ilvl w:val="0"/>
          <w:numId w:val="2"/>
        </w:numPr>
        <w:spacing w:before="120" w:beforeAutospacing="0" w:after="360" w:afterAutospacing="0" w:line="480" w:lineRule="auto"/>
        <w:jc w:val="both"/>
        <w:rPr>
          <w:rStyle w:val="Emphasis"/>
          <w:rFonts w:cs="Arial"/>
          <w:i w:val="0"/>
          <w:iCs w:val="0"/>
        </w:rPr>
      </w:pPr>
      <w:r w:rsidRPr="00EC24F7">
        <w:rPr>
          <w:rFonts w:cs="Arial"/>
        </w:rPr>
        <w:t>It follows that</w:t>
      </w:r>
      <w:r w:rsidR="007A7523" w:rsidRPr="00EC24F7">
        <w:rPr>
          <w:rFonts w:cs="Arial"/>
        </w:rPr>
        <w:t xml:space="preserve"> </w:t>
      </w:r>
      <w:r w:rsidR="001156A2" w:rsidRPr="00EC24F7">
        <w:rPr>
          <w:rFonts w:cs="Arial"/>
        </w:rPr>
        <w:t xml:space="preserve">an eviction is not </w:t>
      </w:r>
      <w:r w:rsidR="007A7523" w:rsidRPr="00EC24F7">
        <w:rPr>
          <w:rFonts w:cs="Arial"/>
        </w:rPr>
        <w:t xml:space="preserve">and cannot ever be </w:t>
      </w:r>
      <w:r w:rsidR="00FB6107" w:rsidRPr="00EC24F7">
        <w:rPr>
          <w:rFonts w:cs="Arial"/>
        </w:rPr>
        <w:t>inherently</w:t>
      </w:r>
      <w:r w:rsidR="001156A2" w:rsidRPr="00EC24F7">
        <w:rPr>
          <w:rFonts w:cs="Arial"/>
        </w:rPr>
        <w:t xml:space="preserve"> unjust and inequitable </w:t>
      </w:r>
      <w:r w:rsidRPr="00EC24F7">
        <w:rPr>
          <w:rFonts w:cs="Arial"/>
        </w:rPr>
        <w:t xml:space="preserve">simply </w:t>
      </w:r>
      <w:r w:rsidR="00FB6107" w:rsidRPr="00EC24F7">
        <w:rPr>
          <w:rFonts w:cs="Arial"/>
        </w:rPr>
        <w:t>because</w:t>
      </w:r>
      <w:r w:rsidR="001156A2" w:rsidRPr="00EC24F7">
        <w:rPr>
          <w:rFonts w:cs="Arial"/>
        </w:rPr>
        <w:t xml:space="preserve"> </w:t>
      </w:r>
      <w:r w:rsidR="008B4803" w:rsidRPr="00EC24F7">
        <w:rPr>
          <w:rFonts w:cs="Arial"/>
        </w:rPr>
        <w:t>emergency housing</w:t>
      </w:r>
      <w:r w:rsidR="001156A2" w:rsidRPr="00EC24F7">
        <w:rPr>
          <w:rFonts w:cs="Arial"/>
        </w:rPr>
        <w:t xml:space="preserve"> is not provided. </w:t>
      </w:r>
      <w:r w:rsidR="007A7523" w:rsidRPr="00EC24F7">
        <w:rPr>
          <w:rFonts w:cs="Arial"/>
        </w:rPr>
        <w:t xml:space="preserve"> </w:t>
      </w:r>
      <w:r w:rsidR="00363274" w:rsidRPr="00EC24F7">
        <w:rPr>
          <w:rFonts w:cs="Arial"/>
        </w:rPr>
        <w:t>The just and equitable enquiry is always a fact-specific exercise where a Court must consider an open list of factors in the determination of what is just and equitable.</w:t>
      </w:r>
      <w:r w:rsidR="00363274" w:rsidRPr="00EC24F7">
        <w:rPr>
          <w:rStyle w:val="FootnoteReference"/>
          <w:rFonts w:cs="Arial"/>
        </w:rPr>
        <w:footnoteReference w:id="81"/>
      </w:r>
      <w:r w:rsidR="00363274" w:rsidRPr="00EC24F7">
        <w:rPr>
          <w:rFonts w:cs="Arial"/>
        </w:rPr>
        <w:t xml:space="preserve">  </w:t>
      </w:r>
      <w:r w:rsidR="007A7523" w:rsidRPr="00EC24F7">
        <w:rPr>
          <w:rFonts w:cs="Arial"/>
        </w:rPr>
        <w:t xml:space="preserve">The approach </w:t>
      </w:r>
      <w:r w:rsidR="00061C6A" w:rsidRPr="00EC24F7">
        <w:rPr>
          <w:rFonts w:cs="Arial"/>
        </w:rPr>
        <w:t>advocated for by</w:t>
      </w:r>
      <w:r w:rsidR="007A7523" w:rsidRPr="00EC24F7">
        <w:rPr>
          <w:rFonts w:cs="Arial"/>
        </w:rPr>
        <w:t xml:space="preserve"> Transnet and the unlawful occupiers </w:t>
      </w:r>
      <w:r w:rsidR="00FD2924" w:rsidRPr="00EC24F7">
        <w:rPr>
          <w:rFonts w:cs="Arial"/>
        </w:rPr>
        <w:t>that emergency housing must be provided in every eviction where homelessness</w:t>
      </w:r>
      <w:r w:rsidR="00711AFF" w:rsidRPr="00EC24F7">
        <w:rPr>
          <w:rFonts w:cs="Arial"/>
        </w:rPr>
        <w:t xml:space="preserve"> would result,</w:t>
      </w:r>
      <w:r w:rsidR="00FB6107" w:rsidRPr="00EC24F7">
        <w:rPr>
          <w:rFonts w:cs="Arial"/>
        </w:rPr>
        <w:t xml:space="preserve"> </w:t>
      </w:r>
      <w:r w:rsidR="00363274" w:rsidRPr="00EC24F7">
        <w:rPr>
          <w:rFonts w:cs="Arial"/>
        </w:rPr>
        <w:t xml:space="preserve">impermissibly </w:t>
      </w:r>
      <w:r w:rsidR="0050572A" w:rsidRPr="00EC24F7">
        <w:rPr>
          <w:rFonts w:cs="Arial"/>
        </w:rPr>
        <w:t>transforms th</w:t>
      </w:r>
      <w:r w:rsidR="00363274" w:rsidRPr="00EC24F7">
        <w:rPr>
          <w:rFonts w:cs="Arial"/>
        </w:rPr>
        <w:t>is</w:t>
      </w:r>
      <w:r w:rsidR="0050572A" w:rsidRPr="00EC24F7">
        <w:rPr>
          <w:rFonts w:cs="Arial"/>
        </w:rPr>
        <w:t xml:space="preserve"> multi-faceted judicial inquiry into a </w:t>
      </w:r>
      <w:r w:rsidR="0050572A" w:rsidRPr="00EC24F7">
        <w:rPr>
          <w:rStyle w:val="Strong"/>
          <w:rFonts w:cs="Arial"/>
          <w:b w:val="0"/>
          <w:bCs w:val="0"/>
        </w:rPr>
        <w:t>foregone conclusion</w:t>
      </w:r>
      <w:r w:rsidR="004829D8" w:rsidRPr="00EC24F7">
        <w:rPr>
          <w:rFonts w:cs="Arial"/>
        </w:rPr>
        <w:t>,</w:t>
      </w:r>
      <w:r w:rsidR="004829D8" w:rsidRPr="00EC24F7">
        <w:rPr>
          <w:rFonts w:cs="Arial"/>
          <w:b/>
          <w:bCs/>
        </w:rPr>
        <w:t xml:space="preserve"> </w:t>
      </w:r>
      <w:r w:rsidR="004829D8" w:rsidRPr="00EC24F7">
        <w:rPr>
          <w:rFonts w:cs="Arial"/>
        </w:rPr>
        <w:t xml:space="preserve">reducing the </w:t>
      </w:r>
      <w:r w:rsidR="00E67EC2">
        <w:rPr>
          <w:rFonts w:cs="Arial"/>
        </w:rPr>
        <w:t>C</w:t>
      </w:r>
      <w:r w:rsidR="004829D8" w:rsidRPr="00EC24F7">
        <w:rPr>
          <w:rFonts w:cs="Arial"/>
        </w:rPr>
        <w:t xml:space="preserve">ourt’s broad discretion to a </w:t>
      </w:r>
      <w:r w:rsidR="004829D8" w:rsidRPr="00EC24F7">
        <w:rPr>
          <w:rStyle w:val="Strong"/>
          <w:rFonts w:cs="Arial"/>
          <w:b w:val="0"/>
          <w:bCs w:val="0"/>
        </w:rPr>
        <w:t>mechanical checklist</w:t>
      </w:r>
      <w:r w:rsidR="007037DC" w:rsidRPr="00EC24F7">
        <w:rPr>
          <w:rStyle w:val="Strong"/>
          <w:rFonts w:cs="Arial"/>
          <w:b w:val="0"/>
          <w:bCs w:val="0"/>
        </w:rPr>
        <w:t xml:space="preserve">, </w:t>
      </w:r>
      <w:r w:rsidR="007037DC" w:rsidRPr="00EC24F7">
        <w:rPr>
          <w:rFonts w:cs="Arial"/>
        </w:rPr>
        <w:t xml:space="preserve">where the single factor of homelessness </w:t>
      </w:r>
      <w:r w:rsidR="005E5CBD" w:rsidRPr="00EC24F7">
        <w:rPr>
          <w:rFonts w:cs="Arial"/>
        </w:rPr>
        <w:t xml:space="preserve">functions as a </w:t>
      </w:r>
      <w:r w:rsidR="005E5CBD" w:rsidRPr="00EC24F7">
        <w:rPr>
          <w:rStyle w:val="Strong"/>
          <w:rFonts w:cs="Arial"/>
          <w:b w:val="0"/>
          <w:bCs w:val="0"/>
        </w:rPr>
        <w:t>dispositive trigger</w:t>
      </w:r>
      <w:r w:rsidR="005E5CBD" w:rsidRPr="00EC24F7">
        <w:rPr>
          <w:rFonts w:cs="Arial"/>
        </w:rPr>
        <w:t xml:space="preserve"> that renders all other contextual factors redundant</w:t>
      </w:r>
      <w:r w:rsidR="007037DC" w:rsidRPr="00EC24F7">
        <w:rPr>
          <w:rFonts w:cs="Arial"/>
        </w:rPr>
        <w:t xml:space="preserve">.  </w:t>
      </w:r>
      <w:r w:rsidR="00393065" w:rsidRPr="00EC24F7">
        <w:rPr>
          <w:rStyle w:val="Emphasis"/>
          <w:rFonts w:cs="Arial"/>
          <w:i w:val="0"/>
          <w:iCs w:val="0"/>
        </w:rPr>
        <w:t>Th</w:t>
      </w:r>
      <w:r w:rsidR="007037DC" w:rsidRPr="00EC24F7">
        <w:rPr>
          <w:rStyle w:val="Emphasis"/>
          <w:rFonts w:cs="Arial"/>
          <w:i w:val="0"/>
          <w:iCs w:val="0"/>
        </w:rPr>
        <w:t>is</w:t>
      </w:r>
      <w:r w:rsidR="00393065" w:rsidRPr="00EC24F7">
        <w:rPr>
          <w:rStyle w:val="Emphasis"/>
          <w:rFonts w:cs="Arial"/>
          <w:i w:val="0"/>
          <w:iCs w:val="0"/>
        </w:rPr>
        <w:t xml:space="preserve"> argument incorrectly treats homelessness as </w:t>
      </w:r>
      <w:r w:rsidR="00393065" w:rsidRPr="00EC24F7">
        <w:rPr>
          <w:rStyle w:val="Strong"/>
          <w:rFonts w:cs="Arial"/>
          <w:b w:val="0"/>
          <w:bCs w:val="0"/>
        </w:rPr>
        <w:t>determinative</w:t>
      </w:r>
      <w:r w:rsidR="00393065" w:rsidRPr="00EC24F7">
        <w:rPr>
          <w:rStyle w:val="Emphasis"/>
          <w:rFonts w:cs="Arial"/>
          <w:b/>
          <w:bCs/>
        </w:rPr>
        <w:t>,</w:t>
      </w:r>
      <w:r w:rsidR="00393065" w:rsidRPr="00EC24F7">
        <w:rPr>
          <w:rStyle w:val="Emphasis"/>
          <w:rFonts w:cs="Arial"/>
          <w:i w:val="0"/>
          <w:iCs w:val="0"/>
        </w:rPr>
        <w:t xml:space="preserve"> rather than merely one factor in the broader judicial calculus</w:t>
      </w:r>
      <w:r w:rsidR="00FC3BEE" w:rsidRPr="00EC24F7">
        <w:rPr>
          <w:rStyle w:val="Emphasis"/>
          <w:rFonts w:cs="Arial"/>
          <w:i w:val="0"/>
          <w:iCs w:val="0"/>
        </w:rPr>
        <w:t>.</w:t>
      </w:r>
    </w:p>
    <w:p w14:paraId="19F20B8A" w14:textId="1B452EE1" w:rsidR="0073440A" w:rsidRPr="00EC24F7" w:rsidRDefault="00CC54A9" w:rsidP="00FD5E50">
      <w:pPr>
        <w:pStyle w:val="ListParagraph"/>
        <w:numPr>
          <w:ilvl w:val="0"/>
          <w:numId w:val="2"/>
        </w:numPr>
        <w:spacing w:before="120" w:beforeAutospacing="0" w:after="360" w:afterAutospacing="0" w:line="480" w:lineRule="auto"/>
        <w:jc w:val="both"/>
        <w:rPr>
          <w:rFonts w:cs="Arial"/>
        </w:rPr>
      </w:pPr>
      <w:r w:rsidRPr="00EC24F7">
        <w:rPr>
          <w:rStyle w:val="Emphasis"/>
          <w:rFonts w:cs="Arial"/>
          <w:i w:val="0"/>
          <w:iCs w:val="0"/>
        </w:rPr>
        <w:lastRenderedPageBreak/>
        <w:t xml:space="preserve">One of the factors that a court will take into account is the circumstances in which an unlawful occupation took place.  By way of example if an unlawful land occupation took place in the face of a court order </w:t>
      </w:r>
      <w:r w:rsidR="00DE3000" w:rsidRPr="00EC24F7">
        <w:rPr>
          <w:rStyle w:val="Emphasis"/>
          <w:rFonts w:cs="Arial"/>
          <w:i w:val="0"/>
          <w:iCs w:val="0"/>
        </w:rPr>
        <w:t xml:space="preserve">or in circumstances amounting to a flagrant breach of the rule of law, </w:t>
      </w:r>
      <w:r w:rsidR="009957A3" w:rsidRPr="00EC24F7">
        <w:rPr>
          <w:rStyle w:val="Emphasis"/>
          <w:rFonts w:cs="Arial"/>
          <w:i w:val="0"/>
          <w:iCs w:val="0"/>
        </w:rPr>
        <w:t>a court cannot close its eyes to such circumstances and fail to take this into account in determining whether it would be just and equitable to order an eviction</w:t>
      </w:r>
      <w:r w:rsidR="003322B3" w:rsidRPr="00EC24F7">
        <w:rPr>
          <w:rStyle w:val="Emphasis"/>
          <w:rFonts w:cs="Arial"/>
          <w:i w:val="0"/>
          <w:iCs w:val="0"/>
        </w:rPr>
        <w:t xml:space="preserve">.  </w:t>
      </w:r>
      <w:r w:rsidR="00D15534" w:rsidRPr="00EC24F7">
        <w:rPr>
          <w:rFonts w:cs="Arial"/>
          <w:lang w:val="en-GB"/>
        </w:rPr>
        <w:t xml:space="preserve">The Constitutional Court has </w:t>
      </w:r>
      <w:r w:rsidR="00FD5E50" w:rsidRPr="00EC24F7">
        <w:rPr>
          <w:rFonts w:cs="Arial"/>
          <w:lang w:val="en-GB"/>
        </w:rPr>
        <w:t xml:space="preserve">repeatedly </w:t>
      </w:r>
      <w:r w:rsidR="00D15534" w:rsidRPr="00EC24F7">
        <w:rPr>
          <w:rFonts w:cs="Arial"/>
          <w:lang w:val="en-GB"/>
        </w:rPr>
        <w:t>emphasised that</w:t>
      </w:r>
      <w:r w:rsidR="00D15534" w:rsidRPr="00EC24F7">
        <w:rPr>
          <w:rFonts w:cs="Arial"/>
          <w:iCs/>
          <w:lang w:val="en-GB"/>
        </w:rPr>
        <w:t xml:space="preserve"> no-one</w:t>
      </w:r>
      <w:r w:rsidR="00FD5E50" w:rsidRPr="00EC24F7">
        <w:rPr>
          <w:rFonts w:cs="Arial"/>
          <w:iCs/>
          <w:lang w:val="en-GB"/>
        </w:rPr>
        <w:t>, however dire their circumstances may be,</w:t>
      </w:r>
      <w:r w:rsidR="00D15534" w:rsidRPr="00EC24F7">
        <w:rPr>
          <w:rFonts w:cs="Arial"/>
          <w:iCs/>
          <w:lang w:val="en-GB"/>
        </w:rPr>
        <w:t xml:space="preserve"> is entitled to take the law into their own hands.  Self-help, in this sense is inimical to a society in which the rule of law prevails, taking the law into one’s own hand is thus inconsistent with the fundamental principles of our law.</w:t>
      </w:r>
      <w:r w:rsidR="00D15534" w:rsidRPr="00EC24F7">
        <w:rPr>
          <w:rStyle w:val="FootnoteReference"/>
          <w:rFonts w:eastAsiaTheme="majorEastAsia" w:cs="Arial"/>
          <w:iCs/>
          <w:lang w:val="en-GB"/>
        </w:rPr>
        <w:footnoteReference w:id="82"/>
      </w:r>
      <w:r w:rsidR="00A31F0D" w:rsidRPr="00EC24F7">
        <w:rPr>
          <w:rFonts w:cs="Arial"/>
          <w:iCs/>
          <w:lang w:val="en-GB"/>
        </w:rPr>
        <w:t xml:space="preserve">  </w:t>
      </w:r>
      <w:r w:rsidR="00A31F0D" w:rsidRPr="00EC24F7">
        <w:rPr>
          <w:rFonts w:cs="Arial"/>
          <w:bCs/>
          <w:lang w:val="en-GB"/>
        </w:rPr>
        <w:t xml:space="preserve">The general rule against self-help applies in the context of </w:t>
      </w:r>
      <w:r w:rsidR="00742C8B" w:rsidRPr="00EC24F7">
        <w:rPr>
          <w:rFonts w:cs="Arial"/>
          <w:bCs/>
          <w:lang w:val="en-GB"/>
        </w:rPr>
        <w:t>s </w:t>
      </w:r>
      <w:r w:rsidR="00A31F0D" w:rsidRPr="00EC24F7">
        <w:rPr>
          <w:rFonts w:cs="Arial"/>
          <w:bCs/>
          <w:lang w:val="en-GB"/>
        </w:rPr>
        <w:t>26(3) rights.</w:t>
      </w:r>
      <w:r w:rsidR="008C28AB" w:rsidRPr="00EC24F7">
        <w:rPr>
          <w:rStyle w:val="FootnoteReference"/>
          <w:rFonts w:cs="Arial"/>
          <w:bCs/>
          <w:lang w:val="en-GB"/>
        </w:rPr>
        <w:footnoteReference w:id="83"/>
      </w:r>
      <w:r w:rsidR="00FC4A56" w:rsidRPr="00EC24F7">
        <w:rPr>
          <w:rFonts w:cs="Arial"/>
          <w:bCs/>
          <w:lang w:val="en-GB"/>
        </w:rPr>
        <w:t xml:space="preserve">  </w:t>
      </w:r>
      <w:r w:rsidR="0073440A" w:rsidRPr="00EC24F7">
        <w:rPr>
          <w:rFonts w:cs="Arial"/>
          <w:lang w:val="en-GB"/>
        </w:rPr>
        <w:t>In short, under the rule of law, a founding principle of the Constitution, courts are to make orders which discourage unlawful land occupations.  Preferential treatment obtained through self-help conduct is contrary to the rule of law and constitutional democracy and must be rejected.</w:t>
      </w:r>
      <w:r w:rsidR="00A86D2C" w:rsidRPr="00EC24F7">
        <w:rPr>
          <w:rStyle w:val="FootnoteReference"/>
          <w:rFonts w:cs="Arial"/>
          <w:lang w:val="en-GB"/>
        </w:rPr>
        <w:footnoteReference w:id="84"/>
      </w:r>
    </w:p>
    <w:p w14:paraId="0B0218EA" w14:textId="77777777" w:rsidR="00663FFA" w:rsidRDefault="003A0C5C" w:rsidP="005336FD">
      <w:pPr>
        <w:pStyle w:val="ListParagraph"/>
        <w:numPr>
          <w:ilvl w:val="0"/>
          <w:numId w:val="2"/>
        </w:numPr>
        <w:spacing w:before="120" w:beforeAutospacing="0" w:after="360" w:afterAutospacing="0" w:line="480" w:lineRule="auto"/>
        <w:jc w:val="both"/>
        <w:rPr>
          <w:rFonts w:cs="Arial"/>
        </w:rPr>
      </w:pPr>
      <w:r w:rsidRPr="00EC24F7">
        <w:rPr>
          <w:rFonts w:cs="Arial"/>
          <w:lang w:val="en-GB"/>
        </w:rPr>
        <w:t xml:space="preserve">The availability of emergency housing </w:t>
      </w:r>
      <w:r w:rsidR="005A24A5" w:rsidRPr="00EC24F7">
        <w:rPr>
          <w:rFonts w:cs="Arial"/>
          <w:lang w:val="en-GB"/>
        </w:rPr>
        <w:t>as well as</w:t>
      </w:r>
      <w:r w:rsidR="00C553F3" w:rsidRPr="00EC24F7">
        <w:rPr>
          <w:rFonts w:cs="Arial"/>
          <w:lang w:val="en-GB"/>
        </w:rPr>
        <w:t xml:space="preserve"> the conduct of the unlawful occupiers are also</w:t>
      </w:r>
      <w:r w:rsidRPr="00EC24F7">
        <w:rPr>
          <w:rFonts w:cs="Arial"/>
          <w:lang w:val="en-GB"/>
        </w:rPr>
        <w:t xml:space="preserve"> factor</w:t>
      </w:r>
      <w:r w:rsidR="00C553F3" w:rsidRPr="00EC24F7">
        <w:rPr>
          <w:rFonts w:cs="Arial"/>
          <w:lang w:val="en-GB"/>
        </w:rPr>
        <w:t>s</w:t>
      </w:r>
      <w:r w:rsidRPr="00EC24F7">
        <w:rPr>
          <w:rFonts w:cs="Arial"/>
          <w:lang w:val="en-GB"/>
        </w:rPr>
        <w:t xml:space="preserve"> that a court must consider in determining whether an eviction order is just and equitable.  </w:t>
      </w:r>
      <w:r w:rsidRPr="00EC24F7">
        <w:rPr>
          <w:rFonts w:cs="Arial"/>
        </w:rPr>
        <w:t xml:space="preserve">In </w:t>
      </w:r>
      <w:r w:rsidRPr="00EC24F7">
        <w:rPr>
          <w:rFonts w:cs="Arial"/>
          <w:i/>
          <w:iCs/>
        </w:rPr>
        <w:t>Khoza and Others v Vosloo and Others</w:t>
      </w:r>
      <w:r w:rsidRPr="00EC24F7">
        <w:rPr>
          <w:rStyle w:val="FootnoteReference"/>
          <w:rFonts w:cs="Arial"/>
        </w:rPr>
        <w:footnoteReference w:id="85"/>
      </w:r>
      <w:r w:rsidRPr="00EC24F7">
        <w:rPr>
          <w:rFonts w:cs="Arial"/>
          <w:i/>
          <w:iCs/>
        </w:rPr>
        <w:t xml:space="preserve"> </w:t>
      </w:r>
      <w:r w:rsidRPr="00EC24F7">
        <w:rPr>
          <w:rFonts w:cs="Arial"/>
        </w:rPr>
        <w:t xml:space="preserve">a number of occupiers sought to interdict the application of an eviction order pending a rescission application on the basis that no emergency housing was provided. </w:t>
      </w:r>
      <w:r w:rsidR="00C553F3" w:rsidRPr="00EC24F7">
        <w:rPr>
          <w:rFonts w:cs="Arial"/>
        </w:rPr>
        <w:t xml:space="preserve"> </w:t>
      </w:r>
    </w:p>
    <w:p w14:paraId="7BDA1C7F" w14:textId="3453B98D" w:rsidR="00776CC8" w:rsidRPr="00EC24F7" w:rsidRDefault="00C553F3" w:rsidP="005336FD">
      <w:pPr>
        <w:pStyle w:val="ListParagraph"/>
        <w:numPr>
          <w:ilvl w:val="0"/>
          <w:numId w:val="2"/>
        </w:numPr>
        <w:spacing w:before="120" w:beforeAutospacing="0" w:after="360" w:afterAutospacing="0" w:line="480" w:lineRule="auto"/>
        <w:jc w:val="both"/>
        <w:rPr>
          <w:rFonts w:cs="Arial"/>
        </w:rPr>
      </w:pPr>
      <w:r w:rsidRPr="00EC24F7">
        <w:rPr>
          <w:rFonts w:cs="Arial"/>
        </w:rPr>
        <w:lastRenderedPageBreak/>
        <w:t>The Court</w:t>
      </w:r>
      <w:r w:rsidR="00CD062C" w:rsidRPr="00EC24F7">
        <w:rPr>
          <w:rFonts w:cs="Arial"/>
        </w:rPr>
        <w:t xml:space="preserve"> in</w:t>
      </w:r>
      <w:r w:rsidRPr="00EC24F7">
        <w:rPr>
          <w:rFonts w:cs="Arial"/>
        </w:rPr>
        <w:t xml:space="preserve"> refus</w:t>
      </w:r>
      <w:r w:rsidR="00CD062C" w:rsidRPr="00EC24F7">
        <w:rPr>
          <w:rFonts w:cs="Arial"/>
        </w:rPr>
        <w:t>ing</w:t>
      </w:r>
      <w:r w:rsidRPr="00EC24F7">
        <w:rPr>
          <w:rFonts w:cs="Arial"/>
        </w:rPr>
        <w:t xml:space="preserve"> to grant the interdict</w:t>
      </w:r>
      <w:r w:rsidR="00CD062C" w:rsidRPr="00EC24F7">
        <w:rPr>
          <w:rFonts w:cs="Arial"/>
        </w:rPr>
        <w:t xml:space="preserve"> </w:t>
      </w:r>
      <w:r w:rsidR="008D2A51">
        <w:rPr>
          <w:rFonts w:cs="Arial"/>
        </w:rPr>
        <w:t>stated</w:t>
      </w:r>
      <w:r w:rsidR="00663FFA">
        <w:rPr>
          <w:rFonts w:cs="Arial"/>
        </w:rPr>
        <w:t>:</w:t>
      </w:r>
      <w:r w:rsidR="008D2A51">
        <w:rPr>
          <w:rFonts w:cs="Arial"/>
        </w:rPr>
        <w:t xml:space="preserve"> </w:t>
      </w:r>
    </w:p>
    <w:p w14:paraId="7D541D33" w14:textId="3E2DE56D" w:rsidR="003A0C5C" w:rsidRPr="00663FFA" w:rsidRDefault="00CD062C" w:rsidP="00DD4459">
      <w:pPr>
        <w:pStyle w:val="ListParagraph"/>
        <w:spacing w:before="120" w:beforeAutospacing="0" w:after="360" w:afterAutospacing="0" w:line="360" w:lineRule="auto"/>
        <w:ind w:left="1134"/>
        <w:jc w:val="both"/>
        <w:rPr>
          <w:rFonts w:cs="Arial"/>
          <w:sz w:val="22"/>
          <w:szCs w:val="22"/>
        </w:rPr>
      </w:pPr>
      <w:r w:rsidRPr="00663FFA">
        <w:rPr>
          <w:rFonts w:cs="Arial"/>
          <w:i/>
          <w:iCs/>
          <w:sz w:val="22"/>
          <w:szCs w:val="22"/>
        </w:rPr>
        <w:t>‘The applicants had many opportunities to place their personal circumstances before court, but failed to do so, failures for which they have themselves to blame. These facts put a different perspective on the absence of a municipal report, which absence in my view does not render the eviction order procedurally irregular or unjust. In any event, the oral evidence rendered at the hearing makes it plain that the City of Johannesburg lacks the ability to provide temporary emergency accommodation to the applicants. This, according to the evidence, has been so for at least the past three years, which covers the period when Bruinders AJ made his eviction order. The alternative order sought by the applicants that the City of Johannesburg should be directed to provide temporary emergency accommodation to the applicants, should not be granted, for all the reasons already mentioned. In addition, the City of Johannesburg is not capable of providing temporary emergency accommodation and an order compelling the City to do so, cannot be complied with. Such an order will serve no purpose and should be avoided</w:t>
      </w:r>
      <w:r w:rsidRPr="00663FFA">
        <w:rPr>
          <w:rFonts w:cs="Arial"/>
          <w:sz w:val="22"/>
          <w:szCs w:val="22"/>
        </w:rPr>
        <w:t>.</w:t>
      </w:r>
      <w:r w:rsidR="00483A9C" w:rsidRPr="00663FFA">
        <w:rPr>
          <w:rFonts w:cs="Arial"/>
          <w:sz w:val="22"/>
          <w:szCs w:val="22"/>
        </w:rPr>
        <w:t>’</w:t>
      </w:r>
    </w:p>
    <w:p w14:paraId="03A947D8" w14:textId="5FD37616" w:rsidR="00F23FEE" w:rsidRPr="00EC24F7" w:rsidRDefault="00F23FEE" w:rsidP="00FD5E50">
      <w:pPr>
        <w:pStyle w:val="ListParagraph"/>
        <w:numPr>
          <w:ilvl w:val="0"/>
          <w:numId w:val="2"/>
        </w:numPr>
        <w:spacing w:before="120" w:beforeAutospacing="0" w:after="360" w:afterAutospacing="0" w:line="480" w:lineRule="auto"/>
        <w:jc w:val="both"/>
        <w:rPr>
          <w:rFonts w:cs="Arial"/>
        </w:rPr>
      </w:pPr>
      <w:r w:rsidRPr="00EC24F7">
        <w:rPr>
          <w:rStyle w:val="Emphasis"/>
          <w:rFonts w:cs="Arial"/>
          <w:i w:val="0"/>
          <w:iCs w:val="0"/>
        </w:rPr>
        <w:t xml:space="preserve">Consequently, it is not open to </w:t>
      </w:r>
      <w:r w:rsidR="00663FFA">
        <w:rPr>
          <w:rStyle w:val="Emphasis"/>
          <w:rFonts w:cs="Arial"/>
          <w:i w:val="0"/>
          <w:iCs w:val="0"/>
        </w:rPr>
        <w:t>the</w:t>
      </w:r>
      <w:r w:rsidRPr="00EC24F7">
        <w:rPr>
          <w:rStyle w:val="Emphasis"/>
          <w:rFonts w:cs="Arial"/>
          <w:i w:val="0"/>
          <w:iCs w:val="0"/>
        </w:rPr>
        <w:t xml:space="preserve"> </w:t>
      </w:r>
      <w:r w:rsidR="00663FFA">
        <w:rPr>
          <w:rStyle w:val="Emphasis"/>
          <w:rFonts w:cs="Arial"/>
          <w:i w:val="0"/>
          <w:iCs w:val="0"/>
        </w:rPr>
        <w:t>C</w:t>
      </w:r>
      <w:r w:rsidRPr="00EC24F7">
        <w:rPr>
          <w:rStyle w:val="Emphasis"/>
          <w:rFonts w:cs="Arial"/>
          <w:i w:val="0"/>
          <w:iCs w:val="0"/>
        </w:rPr>
        <w:t xml:space="preserve">ourt to close its eyes to the </w:t>
      </w:r>
      <w:r w:rsidR="003500DD" w:rsidRPr="00EC24F7">
        <w:rPr>
          <w:rStyle w:val="Emphasis"/>
          <w:rFonts w:cs="Arial"/>
          <w:i w:val="0"/>
          <w:iCs w:val="0"/>
        </w:rPr>
        <w:t>circumstances</w:t>
      </w:r>
      <w:r w:rsidR="00402F95" w:rsidRPr="00EC24F7">
        <w:rPr>
          <w:rStyle w:val="Emphasis"/>
          <w:rFonts w:cs="Arial"/>
          <w:i w:val="0"/>
          <w:iCs w:val="0"/>
        </w:rPr>
        <w:t xml:space="preserve"> </w:t>
      </w:r>
      <w:r w:rsidR="007D534C">
        <w:rPr>
          <w:rStyle w:val="Emphasis"/>
          <w:rFonts w:cs="Arial"/>
          <w:i w:val="0"/>
          <w:iCs w:val="0"/>
        </w:rPr>
        <w:t xml:space="preserve">of </w:t>
      </w:r>
      <w:r w:rsidR="003500DD" w:rsidRPr="00EC24F7">
        <w:rPr>
          <w:rStyle w:val="Emphasis"/>
          <w:rFonts w:cs="Arial"/>
          <w:i w:val="0"/>
          <w:iCs w:val="0"/>
        </w:rPr>
        <w:t>a</w:t>
      </w:r>
      <w:r w:rsidR="00AA2A52" w:rsidRPr="00EC24F7">
        <w:rPr>
          <w:rStyle w:val="Emphasis"/>
          <w:rFonts w:cs="Arial"/>
          <w:i w:val="0"/>
          <w:iCs w:val="0"/>
        </w:rPr>
        <w:t>n</w:t>
      </w:r>
      <w:r w:rsidR="003500DD" w:rsidRPr="00EC24F7">
        <w:rPr>
          <w:rStyle w:val="Emphasis"/>
          <w:rFonts w:cs="Arial"/>
          <w:i w:val="0"/>
          <w:iCs w:val="0"/>
        </w:rPr>
        <w:t xml:space="preserve"> </w:t>
      </w:r>
      <w:r w:rsidR="00AA2A52" w:rsidRPr="00EC24F7">
        <w:rPr>
          <w:rStyle w:val="Emphasis"/>
          <w:rFonts w:cs="Arial"/>
          <w:i w:val="0"/>
          <w:iCs w:val="0"/>
        </w:rPr>
        <w:t xml:space="preserve">unlawful </w:t>
      </w:r>
      <w:r w:rsidR="003500DD" w:rsidRPr="00EC24F7">
        <w:rPr>
          <w:rStyle w:val="Emphasis"/>
          <w:rFonts w:cs="Arial"/>
          <w:i w:val="0"/>
          <w:iCs w:val="0"/>
        </w:rPr>
        <w:t>land occupation</w:t>
      </w:r>
      <w:r w:rsidR="00402F95" w:rsidRPr="00EC24F7">
        <w:rPr>
          <w:rStyle w:val="Emphasis"/>
          <w:rFonts w:cs="Arial"/>
          <w:i w:val="0"/>
          <w:iCs w:val="0"/>
        </w:rPr>
        <w:t xml:space="preserve"> and in particular where it is apparent </w:t>
      </w:r>
      <w:r w:rsidR="00AA2A52" w:rsidRPr="00EC24F7">
        <w:rPr>
          <w:rStyle w:val="Emphasis"/>
          <w:rFonts w:cs="Arial"/>
          <w:i w:val="0"/>
          <w:iCs w:val="0"/>
        </w:rPr>
        <w:t xml:space="preserve">from the facts </w:t>
      </w:r>
      <w:r w:rsidR="00402F95" w:rsidRPr="00EC24F7">
        <w:rPr>
          <w:rStyle w:val="Emphasis"/>
          <w:rFonts w:cs="Arial"/>
          <w:i w:val="0"/>
          <w:iCs w:val="0"/>
        </w:rPr>
        <w:t>that the</w:t>
      </w:r>
      <w:r w:rsidR="00AA2A52" w:rsidRPr="00EC24F7">
        <w:rPr>
          <w:rStyle w:val="Emphasis"/>
          <w:rFonts w:cs="Arial"/>
          <w:i w:val="0"/>
          <w:iCs w:val="0"/>
        </w:rPr>
        <w:t xml:space="preserve"> unlawful</w:t>
      </w:r>
      <w:r w:rsidR="00402F95" w:rsidRPr="00EC24F7">
        <w:rPr>
          <w:rStyle w:val="Emphasis"/>
          <w:rFonts w:cs="Arial"/>
          <w:i w:val="0"/>
          <w:iCs w:val="0"/>
        </w:rPr>
        <w:t xml:space="preserve"> land occupation </w:t>
      </w:r>
      <w:r w:rsidR="00AA2A52" w:rsidRPr="00EC24F7">
        <w:rPr>
          <w:rStyle w:val="Emphasis"/>
          <w:rFonts w:cs="Arial"/>
          <w:i w:val="0"/>
          <w:iCs w:val="0"/>
        </w:rPr>
        <w:t>either took place in the face of a court order or, as in this case operates as a base for criminal activity</w:t>
      </w:r>
      <w:r w:rsidRPr="00EC24F7">
        <w:rPr>
          <w:rStyle w:val="Emphasis"/>
          <w:rFonts w:cs="Arial"/>
          <w:i w:val="0"/>
          <w:iCs w:val="0"/>
        </w:rPr>
        <w:t xml:space="preserve">.  If a court were to do so, the rule of law which is a foundational value of the Constitution would be undermined.  </w:t>
      </w:r>
      <w:r w:rsidRPr="00EC24F7">
        <w:rPr>
          <w:rFonts w:cs="Arial"/>
        </w:rPr>
        <w:t xml:space="preserve">While </w:t>
      </w:r>
      <w:r w:rsidR="007D534C">
        <w:rPr>
          <w:rFonts w:cs="Arial"/>
        </w:rPr>
        <w:t>the</w:t>
      </w:r>
      <w:r w:rsidRPr="00EC24F7">
        <w:rPr>
          <w:rFonts w:cs="Arial"/>
        </w:rPr>
        <w:t xml:space="preserve"> </w:t>
      </w:r>
      <w:r w:rsidR="007D534C">
        <w:rPr>
          <w:rFonts w:cs="Arial"/>
        </w:rPr>
        <w:t>C</w:t>
      </w:r>
      <w:r w:rsidRPr="00EC24F7">
        <w:rPr>
          <w:rFonts w:cs="Arial"/>
        </w:rPr>
        <w:t>ourt might be enjoined to temper evictions with grace</w:t>
      </w:r>
      <w:r w:rsidRPr="00EC24F7">
        <w:rPr>
          <w:rStyle w:val="FootnoteReference"/>
          <w:rFonts w:cs="Arial"/>
        </w:rPr>
        <w:footnoteReference w:id="86"/>
      </w:r>
      <w:r w:rsidRPr="00EC24F7">
        <w:rPr>
          <w:rFonts w:cs="Arial"/>
        </w:rPr>
        <w:t xml:space="preserve"> this </w:t>
      </w:r>
      <w:r w:rsidR="0022637E" w:rsidRPr="00EC24F7">
        <w:rPr>
          <w:rFonts w:cs="Arial"/>
        </w:rPr>
        <w:t>does not</w:t>
      </w:r>
      <w:r w:rsidRPr="00EC24F7">
        <w:rPr>
          <w:rFonts w:cs="Arial"/>
        </w:rPr>
        <w:t xml:space="preserve"> mean that </w:t>
      </w:r>
      <w:r w:rsidR="007D534C">
        <w:rPr>
          <w:rFonts w:cs="Arial"/>
        </w:rPr>
        <w:t>the</w:t>
      </w:r>
      <w:r w:rsidRPr="00EC24F7">
        <w:rPr>
          <w:rFonts w:cs="Arial"/>
        </w:rPr>
        <w:t xml:space="preserve"> </w:t>
      </w:r>
      <w:r w:rsidR="007D534C">
        <w:rPr>
          <w:rFonts w:cs="Arial"/>
        </w:rPr>
        <w:t>C</w:t>
      </w:r>
      <w:r w:rsidRPr="00EC24F7">
        <w:rPr>
          <w:rFonts w:cs="Arial"/>
        </w:rPr>
        <w:t>ourt is entitled to disregard the circumstances in which an unlawful land occupation has occurred or to sanction a profound breach of the rule of law, for it were to do so it would mark the end, not only of the authority</w:t>
      </w:r>
      <w:r w:rsidR="0022637E" w:rsidRPr="00EC24F7">
        <w:rPr>
          <w:rFonts w:cs="Arial"/>
        </w:rPr>
        <w:t xml:space="preserve"> of the courts</w:t>
      </w:r>
      <w:r w:rsidRPr="00EC24F7">
        <w:rPr>
          <w:rFonts w:cs="Arial"/>
        </w:rPr>
        <w:t xml:space="preserve"> but also of the constitutional order.</w:t>
      </w:r>
    </w:p>
    <w:p w14:paraId="37F24CE7" w14:textId="33492465" w:rsidR="005D3198" w:rsidRPr="00EC24F7" w:rsidRDefault="00F10056" w:rsidP="001964AC">
      <w:pPr>
        <w:pStyle w:val="ListParagraph"/>
        <w:numPr>
          <w:ilvl w:val="0"/>
          <w:numId w:val="2"/>
        </w:numPr>
        <w:spacing w:before="120" w:beforeAutospacing="0" w:after="360" w:afterAutospacing="0" w:line="480" w:lineRule="auto"/>
        <w:jc w:val="both"/>
        <w:rPr>
          <w:rFonts w:cs="Arial"/>
        </w:rPr>
      </w:pPr>
      <w:r w:rsidRPr="00EC24F7">
        <w:rPr>
          <w:rFonts w:cs="Arial"/>
        </w:rPr>
        <w:t>In summary</w:t>
      </w:r>
      <w:r w:rsidR="005D3198" w:rsidRPr="00EC24F7">
        <w:rPr>
          <w:rFonts w:cs="Arial"/>
        </w:rPr>
        <w:t>,</w:t>
      </w:r>
      <w:r w:rsidRPr="00EC24F7">
        <w:rPr>
          <w:rFonts w:cs="Arial"/>
        </w:rPr>
        <w:t xml:space="preserve"> the jurisprudence establishes that there may be circumstances where an eviction without an offer of emergency housing is just and equitable.  </w:t>
      </w:r>
      <w:r w:rsidR="00233A6C" w:rsidRPr="00EC24F7">
        <w:rPr>
          <w:rFonts w:cs="Arial"/>
        </w:rPr>
        <w:lastRenderedPageBreak/>
        <w:t>Given that</w:t>
      </w:r>
      <w:r w:rsidRPr="00EC24F7">
        <w:rPr>
          <w:rFonts w:cs="Arial"/>
        </w:rPr>
        <w:t xml:space="preserve"> </w:t>
      </w:r>
      <w:r w:rsidR="00233A6C" w:rsidRPr="00EC24F7">
        <w:rPr>
          <w:rFonts w:cs="Arial"/>
        </w:rPr>
        <w:t>the courts are enjoined not to come to the assistance of those who breach the rule of law by taking the law into their own hands, by parity of reasoning it follows that the courts are equally enjoined not to come to the assistance of those who</w:t>
      </w:r>
      <w:r w:rsidR="001964AC" w:rsidRPr="00EC24F7">
        <w:rPr>
          <w:rFonts w:cs="Arial"/>
        </w:rPr>
        <w:t>se conduct</w:t>
      </w:r>
      <w:r w:rsidR="00233A6C" w:rsidRPr="00EC24F7">
        <w:rPr>
          <w:rFonts w:cs="Arial"/>
        </w:rPr>
        <w:t xml:space="preserve"> breach</w:t>
      </w:r>
      <w:r w:rsidR="001964AC" w:rsidRPr="00EC24F7">
        <w:rPr>
          <w:rFonts w:cs="Arial"/>
        </w:rPr>
        <w:t>es</w:t>
      </w:r>
      <w:r w:rsidR="00233A6C" w:rsidRPr="00EC24F7">
        <w:rPr>
          <w:rFonts w:cs="Arial"/>
        </w:rPr>
        <w:t xml:space="preserve"> the rule of law in other ways.</w:t>
      </w:r>
      <w:r w:rsidR="001964AC" w:rsidRPr="00EC24F7">
        <w:rPr>
          <w:rFonts w:cs="Arial"/>
        </w:rPr>
        <w:t xml:space="preserve">  </w:t>
      </w:r>
    </w:p>
    <w:p w14:paraId="7491A2A4" w14:textId="09C512A7" w:rsidR="00524530" w:rsidRPr="00EC24F7" w:rsidRDefault="001964AC" w:rsidP="001964AC">
      <w:pPr>
        <w:pStyle w:val="ListParagraph"/>
        <w:numPr>
          <w:ilvl w:val="0"/>
          <w:numId w:val="2"/>
        </w:numPr>
        <w:spacing w:before="120" w:beforeAutospacing="0" w:after="360" w:afterAutospacing="0" w:line="480" w:lineRule="auto"/>
        <w:jc w:val="both"/>
        <w:rPr>
          <w:rFonts w:cs="Arial"/>
        </w:rPr>
      </w:pPr>
      <w:r w:rsidRPr="00EC24F7">
        <w:rPr>
          <w:rFonts w:cs="Arial"/>
        </w:rPr>
        <w:t xml:space="preserve">It bears emphasis that the City’s averments regarding the criminal conduct at the heart of the unlawful occupation are not meaningfully disputed.  Consequently, </w:t>
      </w:r>
      <w:r w:rsidR="00524530" w:rsidRPr="00EC24F7">
        <w:rPr>
          <w:rFonts w:cs="Arial"/>
        </w:rPr>
        <w:t xml:space="preserve">ordering </w:t>
      </w:r>
      <w:r w:rsidR="008B4803" w:rsidRPr="00EC24F7">
        <w:rPr>
          <w:rFonts w:cs="Arial"/>
        </w:rPr>
        <w:t>emergency housing</w:t>
      </w:r>
      <w:r w:rsidR="00524530" w:rsidRPr="00EC24F7">
        <w:rPr>
          <w:rFonts w:cs="Arial"/>
        </w:rPr>
        <w:t xml:space="preserve"> in these circumstances </w:t>
      </w:r>
      <w:r w:rsidR="006B1D4D" w:rsidRPr="00EC24F7">
        <w:rPr>
          <w:rFonts w:cs="Arial"/>
        </w:rPr>
        <w:t xml:space="preserve">is not just and equitable. </w:t>
      </w:r>
      <w:r w:rsidR="00C2131B" w:rsidRPr="00EC24F7">
        <w:rPr>
          <w:rFonts w:cs="Arial"/>
        </w:rPr>
        <w:t xml:space="preserve">The City’s position in this regard is reasonable, particularly if regard is had to the pleaded facts and the failure to gainsay those facts on the part of Transnet or the </w:t>
      </w:r>
      <w:r w:rsidR="00F93166" w:rsidRPr="00EC24F7">
        <w:rPr>
          <w:rFonts w:cs="Arial"/>
        </w:rPr>
        <w:t xml:space="preserve">unlawful </w:t>
      </w:r>
      <w:r w:rsidR="00C2131B" w:rsidRPr="00EC24F7">
        <w:rPr>
          <w:rFonts w:cs="Arial"/>
        </w:rPr>
        <w:t xml:space="preserve">occupiers. </w:t>
      </w:r>
    </w:p>
    <w:p w14:paraId="37E3AF0D" w14:textId="34BF4CD5" w:rsidR="00C137BB" w:rsidRPr="00EC24F7" w:rsidRDefault="00C137BB" w:rsidP="001964AC">
      <w:pPr>
        <w:pStyle w:val="ListParagraph"/>
        <w:numPr>
          <w:ilvl w:val="0"/>
          <w:numId w:val="2"/>
        </w:numPr>
        <w:spacing w:before="120" w:beforeAutospacing="0" w:after="360" w:afterAutospacing="0" w:line="480" w:lineRule="auto"/>
        <w:jc w:val="both"/>
        <w:rPr>
          <w:rFonts w:cs="Arial"/>
        </w:rPr>
      </w:pPr>
      <w:r w:rsidRPr="00EC24F7">
        <w:rPr>
          <w:rFonts w:cs="Arial"/>
        </w:rPr>
        <w:t xml:space="preserve">The City contends that given the conspectus of the evidence which demonstrates clearly that </w:t>
      </w:r>
      <w:r w:rsidRPr="00EC24F7">
        <w:rPr>
          <w:rFonts w:cs="Arial"/>
          <w:color w:val="000000"/>
          <w:lang w:val="en-GB"/>
        </w:rPr>
        <w:t xml:space="preserve">the occupation of the properties serves as a base for criminal activity undertaken by the unlawful occupiers, </w:t>
      </w:r>
      <w:r w:rsidRPr="00EC24F7">
        <w:rPr>
          <w:rFonts w:cs="Arial"/>
        </w:rPr>
        <w:t xml:space="preserve">it is not just and equitable to require the City to provide the unlawful occupiers with emergency housing.  The City’s position is entirely consistent with the established jurisprudence.  </w:t>
      </w:r>
    </w:p>
    <w:p w14:paraId="1105F4E4" w14:textId="77777777" w:rsidR="000A7A21" w:rsidRPr="00EC24F7" w:rsidRDefault="000A7A21" w:rsidP="000A7A21">
      <w:pPr>
        <w:pStyle w:val="Heading1"/>
        <w:rPr>
          <w:rFonts w:cs="Arial"/>
          <w:b w:val="0"/>
          <w:bCs/>
          <w:szCs w:val="24"/>
          <w:lang w:val="en-GB"/>
        </w:rPr>
      </w:pPr>
      <w:bookmarkStart w:id="7" w:name="_Toc225751550"/>
      <w:bookmarkStart w:id="8" w:name="_Toc226040124"/>
      <w:r w:rsidRPr="00EC24F7">
        <w:rPr>
          <w:rFonts w:cs="Arial"/>
          <w:bCs/>
          <w:szCs w:val="24"/>
          <w:lang w:val="en-GB"/>
        </w:rPr>
        <w:t>MEANINGFUL ENGAGEMENT</w:t>
      </w:r>
      <w:bookmarkEnd w:id="7"/>
      <w:bookmarkEnd w:id="8"/>
    </w:p>
    <w:p w14:paraId="0C2CCEC9" w14:textId="528A60D0" w:rsidR="00F02AA2" w:rsidRPr="00EC24F7" w:rsidRDefault="00A16678" w:rsidP="00A212BD">
      <w:pPr>
        <w:pStyle w:val="Style1"/>
        <w:numPr>
          <w:ilvl w:val="0"/>
          <w:numId w:val="2"/>
        </w:numPr>
        <w:rPr>
          <w:rFonts w:ascii="Arial" w:hAnsi="Arial"/>
          <w:lang w:val="en-GB"/>
        </w:rPr>
      </w:pPr>
      <w:r w:rsidRPr="00EC24F7">
        <w:rPr>
          <w:rFonts w:ascii="Arial" w:hAnsi="Arial"/>
          <w:lang w:val="en-GB"/>
        </w:rPr>
        <w:t>Transnet proceeds from the incorrect premise that the obligation</w:t>
      </w:r>
      <w:r w:rsidR="00F02AA2" w:rsidRPr="00EC24F7">
        <w:rPr>
          <w:rFonts w:ascii="Arial" w:hAnsi="Arial"/>
          <w:lang w:val="en-GB"/>
        </w:rPr>
        <w:t xml:space="preserve">s in respect of meaningful engagement rest solely on the City.  </w:t>
      </w:r>
      <w:r w:rsidR="00790D91" w:rsidRPr="00EC24F7">
        <w:rPr>
          <w:rFonts w:ascii="Arial" w:hAnsi="Arial"/>
          <w:lang w:val="en-GB"/>
        </w:rPr>
        <w:t xml:space="preserve">Where an eviction order is sought at the instance of an organ of State, </w:t>
      </w:r>
      <w:r w:rsidR="00774250" w:rsidRPr="00EC24F7">
        <w:rPr>
          <w:rFonts w:ascii="Arial" w:hAnsi="Arial"/>
          <w:lang w:val="en-GB"/>
        </w:rPr>
        <w:t xml:space="preserve">the constitutional </w:t>
      </w:r>
      <w:r w:rsidR="00F02AA2" w:rsidRPr="00EC24F7">
        <w:rPr>
          <w:rFonts w:ascii="Arial" w:eastAsiaTheme="minorHAnsi" w:hAnsi="Arial"/>
          <w:lang w:val="en-GB"/>
        </w:rPr>
        <w:t>obligation</w:t>
      </w:r>
      <w:r w:rsidR="00774250" w:rsidRPr="00EC24F7">
        <w:rPr>
          <w:rFonts w:ascii="Arial" w:eastAsiaTheme="minorHAnsi" w:hAnsi="Arial"/>
          <w:lang w:val="en-GB"/>
        </w:rPr>
        <w:t>s in respect of meaningful engagement rest on</w:t>
      </w:r>
      <w:r w:rsidR="00F02AA2" w:rsidRPr="00EC24F7">
        <w:rPr>
          <w:rFonts w:ascii="Arial" w:eastAsiaTheme="minorHAnsi" w:hAnsi="Arial"/>
          <w:lang w:val="en-GB"/>
        </w:rPr>
        <w:t xml:space="preserve"> </w:t>
      </w:r>
      <w:r w:rsidR="00774250" w:rsidRPr="00EC24F7">
        <w:rPr>
          <w:rFonts w:ascii="Arial" w:eastAsiaTheme="minorHAnsi" w:hAnsi="Arial"/>
          <w:lang w:val="en-GB"/>
        </w:rPr>
        <w:t xml:space="preserve">the </w:t>
      </w:r>
      <w:r w:rsidR="00B65DA4">
        <w:rPr>
          <w:rFonts w:ascii="Arial" w:eastAsiaTheme="minorHAnsi" w:hAnsi="Arial"/>
          <w:lang w:val="en-GB"/>
        </w:rPr>
        <w:t>o</w:t>
      </w:r>
      <w:r w:rsidR="00774250" w:rsidRPr="00EC24F7">
        <w:rPr>
          <w:rFonts w:ascii="Arial" w:eastAsiaTheme="minorHAnsi" w:hAnsi="Arial"/>
          <w:lang w:val="en-GB"/>
        </w:rPr>
        <w:t xml:space="preserve">rgan of State and not only on the local </w:t>
      </w:r>
      <w:r w:rsidR="00774250" w:rsidRPr="00EC24F7">
        <w:rPr>
          <w:rFonts w:ascii="Arial" w:eastAsiaTheme="minorHAnsi" w:hAnsi="Arial"/>
          <w:lang w:val="en-GB"/>
        </w:rPr>
        <w:lastRenderedPageBreak/>
        <w:t>authority, in particular where the eviction is not sought at the instance of the local authority.</w:t>
      </w:r>
      <w:r w:rsidR="00774250" w:rsidRPr="00EC24F7">
        <w:rPr>
          <w:rStyle w:val="FootnoteReference"/>
          <w:rFonts w:ascii="Arial" w:eastAsiaTheme="minorHAnsi" w:hAnsi="Arial"/>
          <w:lang w:val="en-GB"/>
        </w:rPr>
        <w:footnoteReference w:id="87"/>
      </w:r>
    </w:p>
    <w:p w14:paraId="3DAD49FA" w14:textId="484C8E24" w:rsidR="000A7A21" w:rsidRPr="00EC24F7" w:rsidRDefault="000A7A21" w:rsidP="000A7A21">
      <w:pPr>
        <w:pStyle w:val="Style1"/>
        <w:numPr>
          <w:ilvl w:val="0"/>
          <w:numId w:val="2"/>
        </w:numPr>
        <w:rPr>
          <w:rFonts w:ascii="Arial" w:hAnsi="Arial"/>
          <w:lang w:val="en-GB"/>
        </w:rPr>
      </w:pPr>
      <w:r w:rsidRPr="00EC24F7">
        <w:rPr>
          <w:rFonts w:ascii="Arial" w:hAnsi="Arial"/>
          <w:color w:val="242121"/>
        </w:rPr>
        <w:t xml:space="preserve">Meaningful engagement is a two-way process in which the </w:t>
      </w:r>
      <w:r w:rsidR="009B0619" w:rsidRPr="00EC24F7">
        <w:rPr>
          <w:rFonts w:ascii="Arial" w:hAnsi="Arial"/>
          <w:color w:val="242121"/>
        </w:rPr>
        <w:t>State</w:t>
      </w:r>
      <w:r w:rsidRPr="00EC24F7">
        <w:rPr>
          <w:rFonts w:ascii="Arial" w:hAnsi="Arial"/>
          <w:color w:val="242121"/>
        </w:rPr>
        <w:t xml:space="preserve"> and those about to become homeless </w:t>
      </w:r>
      <w:r w:rsidR="009B0619" w:rsidRPr="00EC24F7">
        <w:rPr>
          <w:rFonts w:ascii="Arial" w:hAnsi="Arial"/>
          <w:color w:val="242121"/>
        </w:rPr>
        <w:t>are required to</w:t>
      </w:r>
      <w:r w:rsidRPr="00EC24F7">
        <w:rPr>
          <w:rFonts w:ascii="Arial" w:hAnsi="Arial"/>
          <w:color w:val="242121"/>
        </w:rPr>
        <w:t xml:space="preserve"> talk to each other meaningfully in order to achieve certain objectives.</w:t>
      </w:r>
      <w:r w:rsidRPr="00EC24F7">
        <w:rPr>
          <w:rStyle w:val="FootnoteReference"/>
          <w:rFonts w:ascii="Arial" w:hAnsi="Arial"/>
          <w:color w:val="242121"/>
        </w:rPr>
        <w:footnoteReference w:id="88"/>
      </w:r>
      <w:r w:rsidRPr="00EC24F7">
        <w:rPr>
          <w:rFonts w:ascii="Arial" w:hAnsi="Arial"/>
          <w:lang w:val="en-GB"/>
        </w:rPr>
        <w:t xml:space="preserve">  </w:t>
      </w:r>
      <w:r w:rsidRPr="00EC24F7">
        <w:rPr>
          <w:rFonts w:ascii="Arial" w:hAnsi="Arial"/>
          <w:color w:val="242121"/>
        </w:rPr>
        <w:t xml:space="preserve">There is no closed list of the objectives of engagement. </w:t>
      </w:r>
      <w:r w:rsidR="00A54595" w:rsidRPr="00EC24F7">
        <w:rPr>
          <w:rFonts w:ascii="Arial" w:hAnsi="Arial"/>
          <w:color w:val="242121"/>
        </w:rPr>
        <w:t xml:space="preserve"> </w:t>
      </w:r>
      <w:r w:rsidRPr="00EC24F7">
        <w:rPr>
          <w:rFonts w:ascii="Arial" w:hAnsi="Arial"/>
          <w:color w:val="242121"/>
        </w:rPr>
        <w:t>Some of the objectives of engagement in the context of on organ of Sta</w:t>
      </w:r>
      <w:r w:rsidR="00A54595" w:rsidRPr="00EC24F7">
        <w:rPr>
          <w:rFonts w:ascii="Arial" w:hAnsi="Arial"/>
          <w:color w:val="242121"/>
        </w:rPr>
        <w:t>te</w:t>
      </w:r>
      <w:r w:rsidRPr="00EC24F7">
        <w:rPr>
          <w:rFonts w:ascii="Arial" w:hAnsi="Arial"/>
          <w:color w:val="242121"/>
        </w:rPr>
        <w:t xml:space="preserve"> wishing to evict people who might be rendered homeless consequent upon the eviction would be to determine (a) what the consequences of the eviction might be; (b) whether the State could help in alleviating those consequences; (c) whether it </w:t>
      </w:r>
      <w:r w:rsidR="00116E70" w:rsidRPr="00EC24F7">
        <w:rPr>
          <w:rFonts w:ascii="Arial" w:hAnsi="Arial"/>
          <w:color w:val="242121"/>
        </w:rPr>
        <w:t>is</w:t>
      </w:r>
      <w:r w:rsidRPr="00EC24F7">
        <w:rPr>
          <w:rFonts w:ascii="Arial" w:hAnsi="Arial"/>
          <w:color w:val="242121"/>
        </w:rPr>
        <w:t xml:space="preserve"> possible to render the properties from which the eviction is sought relatively safe and conducive to health for an interim period; (d) whether the State ha</w:t>
      </w:r>
      <w:r w:rsidR="008A5CA4" w:rsidRPr="00EC24F7">
        <w:rPr>
          <w:rFonts w:ascii="Arial" w:hAnsi="Arial"/>
          <w:color w:val="242121"/>
        </w:rPr>
        <w:t>s</w:t>
      </w:r>
      <w:r w:rsidRPr="00EC24F7">
        <w:rPr>
          <w:rFonts w:ascii="Arial" w:hAnsi="Arial"/>
          <w:color w:val="242121"/>
        </w:rPr>
        <w:t xml:space="preserve"> any obligations to the occupiers in the prevailing circumstances; and (e) when and how the State could or would fulfil these obligations.</w:t>
      </w:r>
      <w:r w:rsidRPr="00EC24F7">
        <w:rPr>
          <w:rStyle w:val="FootnoteReference"/>
          <w:rFonts w:ascii="Arial" w:hAnsi="Arial"/>
          <w:color w:val="242121"/>
        </w:rPr>
        <w:footnoteReference w:id="89"/>
      </w:r>
    </w:p>
    <w:p w14:paraId="3BFBC5ED" w14:textId="7D98F7DE" w:rsidR="000A7A21" w:rsidRPr="00EC24F7" w:rsidRDefault="000A7A21" w:rsidP="000A7A21">
      <w:pPr>
        <w:pStyle w:val="Style1"/>
        <w:numPr>
          <w:ilvl w:val="0"/>
          <w:numId w:val="2"/>
        </w:numPr>
        <w:rPr>
          <w:rFonts w:ascii="Arial" w:hAnsi="Arial"/>
          <w:lang w:val="en-GB"/>
        </w:rPr>
      </w:pPr>
      <w:r w:rsidRPr="00EC24F7">
        <w:rPr>
          <w:rFonts w:ascii="Arial" w:hAnsi="Arial"/>
          <w:color w:val="242121"/>
          <w:shd w:val="clear" w:color="auto" w:fill="FFFFFF"/>
        </w:rPr>
        <w:t>The process of engagement does not require the parties to agree on every issue. What is required is good faith and reasonableness on both sides and the willingness to listen and understand the concerns of the other side.</w:t>
      </w:r>
      <w:r w:rsidRPr="00EC24F7">
        <w:rPr>
          <w:rStyle w:val="FootnoteReference"/>
          <w:rFonts w:ascii="Arial" w:hAnsi="Arial"/>
          <w:color w:val="242121"/>
          <w:shd w:val="clear" w:color="auto" w:fill="FFFFFF"/>
        </w:rPr>
        <w:footnoteReference w:id="90"/>
      </w:r>
      <w:r w:rsidRPr="00EC24F7">
        <w:rPr>
          <w:rFonts w:ascii="Arial" w:hAnsi="Arial"/>
          <w:lang w:val="en-GB"/>
        </w:rPr>
        <w:t xml:space="preserve"> </w:t>
      </w:r>
      <w:r w:rsidRPr="00EC24F7">
        <w:rPr>
          <w:rFonts w:ascii="Arial" w:hAnsi="Arial"/>
          <w:color w:val="242121"/>
          <w:shd w:val="clear" w:color="auto" w:fill="FFFFFF"/>
        </w:rPr>
        <w:t xml:space="preserve">Engagement must be approached </w:t>
      </w:r>
      <w:r w:rsidRPr="00EC24F7">
        <w:rPr>
          <w:rFonts w:ascii="Arial" w:hAnsi="Arial"/>
          <w:i/>
          <w:iCs/>
          <w:color w:val="242121"/>
          <w:shd w:val="clear" w:color="auto" w:fill="FFFFFF"/>
        </w:rPr>
        <w:t xml:space="preserve">‘in good faith and with a willingness to listen and, where possible, to accommodate one another. Mutual understanding and accommodation of </w:t>
      </w:r>
      <w:r w:rsidR="001B51D2" w:rsidRPr="00EC24F7">
        <w:rPr>
          <w:rFonts w:ascii="Arial" w:hAnsi="Arial"/>
          <w:i/>
          <w:iCs/>
          <w:color w:val="242121"/>
          <w:shd w:val="clear" w:color="auto" w:fill="FFFFFF"/>
        </w:rPr>
        <w:t>each other’s</w:t>
      </w:r>
      <w:r w:rsidRPr="00EC24F7">
        <w:rPr>
          <w:rFonts w:ascii="Arial" w:hAnsi="Arial"/>
          <w:i/>
          <w:iCs/>
          <w:color w:val="242121"/>
          <w:shd w:val="clear" w:color="auto" w:fill="FFFFFF"/>
        </w:rPr>
        <w:t xml:space="preserve"> concerns, as opposed to reaching agreement, should be the primary focus of meaningful engagement. Ultimately, the decision lies with the government. The decision must, however, be informed by the </w:t>
      </w:r>
      <w:r w:rsidRPr="00EC24F7">
        <w:rPr>
          <w:rFonts w:ascii="Arial" w:hAnsi="Arial"/>
          <w:i/>
          <w:iCs/>
          <w:color w:val="242121"/>
          <w:shd w:val="clear" w:color="auto" w:fill="FFFFFF"/>
        </w:rPr>
        <w:lastRenderedPageBreak/>
        <w:t>concerns raised by the residents during the process of engagement</w:t>
      </w:r>
      <w:r w:rsidRPr="00EC24F7">
        <w:rPr>
          <w:rFonts w:ascii="Arial" w:hAnsi="Arial"/>
          <w:color w:val="242121"/>
          <w:shd w:val="clear" w:color="auto" w:fill="FFFFFF"/>
        </w:rPr>
        <w:t>.’</w:t>
      </w:r>
      <w:r w:rsidRPr="00EC24F7">
        <w:rPr>
          <w:rStyle w:val="FootnoteReference"/>
          <w:rFonts w:ascii="Arial" w:hAnsi="Arial"/>
          <w:color w:val="242121"/>
          <w:shd w:val="clear" w:color="auto" w:fill="FFFFFF"/>
        </w:rPr>
        <w:footnoteReference w:id="91"/>
      </w:r>
      <w:r w:rsidRPr="00EC24F7">
        <w:rPr>
          <w:rFonts w:ascii="Arial" w:hAnsi="Arial"/>
          <w:lang w:val="en-GB"/>
        </w:rPr>
        <w:t xml:space="preserve">  If engagement between an occupier and owner or person in charge gives rise to a stalemate, that must be resolved by a </w:t>
      </w:r>
      <w:r w:rsidR="00994094">
        <w:rPr>
          <w:rFonts w:ascii="Arial" w:hAnsi="Arial"/>
          <w:lang w:val="en-GB"/>
        </w:rPr>
        <w:t>c</w:t>
      </w:r>
      <w:r w:rsidRPr="00EC24F7">
        <w:rPr>
          <w:rFonts w:ascii="Arial" w:hAnsi="Arial"/>
          <w:lang w:val="en-GB"/>
        </w:rPr>
        <w:t>ourt.  The occupier cannot resort to self-help.</w:t>
      </w:r>
      <w:r w:rsidRPr="00EC24F7">
        <w:rPr>
          <w:rStyle w:val="FootnoteReference"/>
          <w:rFonts w:ascii="Arial" w:hAnsi="Arial"/>
          <w:lang w:val="en-GB"/>
        </w:rPr>
        <w:footnoteReference w:id="92"/>
      </w:r>
      <w:r w:rsidRPr="00EC24F7">
        <w:rPr>
          <w:rFonts w:ascii="Arial" w:hAnsi="Arial"/>
          <w:lang w:val="en-GB"/>
        </w:rPr>
        <w:t xml:space="preserve">  </w:t>
      </w:r>
    </w:p>
    <w:p w14:paraId="49E26BFA" w14:textId="44E42140" w:rsidR="00931110" w:rsidRPr="00EC24F7" w:rsidRDefault="00EA52FD" w:rsidP="002A6C14">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In this matter</w:t>
      </w:r>
      <w:r w:rsidR="00C17F6D">
        <w:rPr>
          <w:rFonts w:cs="Arial"/>
          <w:lang w:val="en-GB"/>
        </w:rPr>
        <w:t>,</w:t>
      </w:r>
      <w:r w:rsidRPr="00EC24F7">
        <w:rPr>
          <w:rFonts w:cs="Arial"/>
          <w:lang w:val="en-GB"/>
        </w:rPr>
        <w:t xml:space="preserve"> the </w:t>
      </w:r>
      <w:r w:rsidR="000A7A21" w:rsidRPr="00EC24F7">
        <w:rPr>
          <w:rFonts w:cs="Arial"/>
          <w:lang w:val="en-GB"/>
        </w:rPr>
        <w:t>City has meaningfully engaged</w:t>
      </w:r>
      <w:r w:rsidRPr="00EC24F7">
        <w:rPr>
          <w:rFonts w:cs="Arial"/>
          <w:lang w:val="en-GB"/>
        </w:rPr>
        <w:t xml:space="preserve"> with the unlawful occupiers</w:t>
      </w:r>
      <w:r w:rsidR="000A7A21" w:rsidRPr="00EC24F7">
        <w:rPr>
          <w:rFonts w:cs="Arial"/>
          <w:lang w:val="en-GB"/>
        </w:rPr>
        <w:t xml:space="preserve"> as far is it was able to </w:t>
      </w:r>
      <w:r w:rsidRPr="00EC24F7">
        <w:rPr>
          <w:rFonts w:cs="Arial"/>
          <w:lang w:val="en-GB"/>
        </w:rPr>
        <w:t xml:space="preserve">do </w:t>
      </w:r>
      <w:r w:rsidR="000A7A21" w:rsidRPr="00EC24F7">
        <w:rPr>
          <w:rFonts w:cs="Arial"/>
          <w:lang w:val="en-GB"/>
        </w:rPr>
        <w:t>in the</w:t>
      </w:r>
      <w:r w:rsidRPr="00EC24F7">
        <w:rPr>
          <w:rFonts w:cs="Arial"/>
          <w:lang w:val="en-GB"/>
        </w:rPr>
        <w:t xml:space="preserve"> particular</w:t>
      </w:r>
      <w:r w:rsidR="000A7A21" w:rsidRPr="00EC24F7">
        <w:rPr>
          <w:rFonts w:cs="Arial"/>
          <w:lang w:val="en-GB"/>
        </w:rPr>
        <w:t xml:space="preserve"> circumstances of this matter</w:t>
      </w:r>
      <w:r w:rsidRPr="00EC24F7">
        <w:rPr>
          <w:rFonts w:cs="Arial"/>
          <w:lang w:val="en-GB"/>
        </w:rPr>
        <w:t xml:space="preserve"> for the</w:t>
      </w:r>
      <w:r w:rsidR="000A7A21" w:rsidRPr="00EC24F7">
        <w:rPr>
          <w:rFonts w:cs="Arial"/>
          <w:lang w:val="en-GB"/>
        </w:rPr>
        <w:t xml:space="preserve"> purpose establish</w:t>
      </w:r>
      <w:r w:rsidRPr="00EC24F7">
        <w:rPr>
          <w:rFonts w:cs="Arial"/>
          <w:lang w:val="en-GB"/>
        </w:rPr>
        <w:t>ing</w:t>
      </w:r>
      <w:r w:rsidR="000A7A21" w:rsidRPr="00EC24F7">
        <w:rPr>
          <w:rFonts w:cs="Arial"/>
          <w:lang w:val="en-GB"/>
        </w:rPr>
        <w:t xml:space="preserve">, </w:t>
      </w:r>
      <w:r w:rsidR="000A7A21" w:rsidRPr="00EC24F7">
        <w:rPr>
          <w:rFonts w:cs="Arial"/>
          <w:i/>
          <w:iCs/>
          <w:lang w:val="en-GB"/>
        </w:rPr>
        <w:t>inter alia</w:t>
      </w:r>
      <w:r w:rsidR="000A7A21" w:rsidRPr="00EC24F7">
        <w:rPr>
          <w:rFonts w:cs="Arial"/>
          <w:lang w:val="en-GB"/>
        </w:rPr>
        <w:t xml:space="preserve">, the personal circumstances of the </w:t>
      </w:r>
      <w:r w:rsidRPr="00EC24F7">
        <w:rPr>
          <w:rFonts w:cs="Arial"/>
          <w:lang w:val="en-GB"/>
        </w:rPr>
        <w:t xml:space="preserve">unlawful </w:t>
      </w:r>
      <w:r w:rsidR="000A7A21" w:rsidRPr="00EC24F7">
        <w:rPr>
          <w:rFonts w:cs="Arial"/>
          <w:lang w:val="en-GB"/>
        </w:rPr>
        <w:t xml:space="preserve">occupiers. </w:t>
      </w:r>
      <w:r w:rsidR="002A6C14" w:rsidRPr="00EC24F7">
        <w:rPr>
          <w:rFonts w:cs="Arial"/>
          <w:lang w:val="en-GB"/>
        </w:rPr>
        <w:t xml:space="preserve"> </w:t>
      </w:r>
      <w:r w:rsidR="00931110" w:rsidRPr="00EC24F7">
        <w:rPr>
          <w:rFonts w:cs="Arial"/>
          <w:lang w:val="en-GB"/>
        </w:rPr>
        <w:t xml:space="preserve">The City’s attempts to engage with the unlawful occupiers must be seen in the context of where NU as the attorneys for the unlawful occupiers have </w:t>
      </w:r>
      <w:r w:rsidR="00D64921" w:rsidRPr="00EC24F7">
        <w:rPr>
          <w:rFonts w:cs="Arial"/>
          <w:lang w:val="en-GB"/>
        </w:rPr>
        <w:t xml:space="preserve">on the one hand insisted that they are entitled to be present during all engagements with their clients but on the other hand have unreasonably </w:t>
      </w:r>
      <w:r w:rsidR="00931110" w:rsidRPr="00EC24F7">
        <w:rPr>
          <w:rFonts w:cs="Arial"/>
          <w:lang w:val="en-GB"/>
        </w:rPr>
        <w:t xml:space="preserve">failed and/or refused to </w:t>
      </w:r>
      <w:r w:rsidR="004C57DA" w:rsidRPr="00EC24F7">
        <w:rPr>
          <w:rFonts w:cs="Arial"/>
          <w:lang w:val="en-GB"/>
        </w:rPr>
        <w:t>facilitate engagement</w:t>
      </w:r>
      <w:r w:rsidR="00D64921" w:rsidRPr="00EC24F7">
        <w:rPr>
          <w:rFonts w:cs="Arial"/>
          <w:lang w:val="en-GB"/>
        </w:rPr>
        <w:t>s b</w:t>
      </w:r>
      <w:r w:rsidR="00DB5830" w:rsidRPr="00EC24F7">
        <w:rPr>
          <w:rFonts w:cs="Arial"/>
          <w:lang w:val="en-GB"/>
        </w:rPr>
        <w:t>etween</w:t>
      </w:r>
      <w:r w:rsidR="00D64921" w:rsidRPr="00EC24F7">
        <w:rPr>
          <w:rFonts w:cs="Arial"/>
          <w:lang w:val="en-GB"/>
        </w:rPr>
        <w:t xml:space="preserve"> the City </w:t>
      </w:r>
      <w:r w:rsidR="00DB5830" w:rsidRPr="00EC24F7">
        <w:rPr>
          <w:rFonts w:cs="Arial"/>
          <w:lang w:val="en-GB"/>
        </w:rPr>
        <w:t>and</w:t>
      </w:r>
      <w:r w:rsidR="00D64921" w:rsidRPr="00EC24F7">
        <w:rPr>
          <w:rFonts w:cs="Arial"/>
          <w:lang w:val="en-GB"/>
        </w:rPr>
        <w:t xml:space="preserve"> their clients.</w:t>
      </w:r>
      <w:r w:rsidR="004C57DA" w:rsidRPr="00EC24F7">
        <w:rPr>
          <w:rFonts w:cs="Arial"/>
          <w:lang w:val="en-GB"/>
        </w:rPr>
        <w:t xml:space="preserve">  </w:t>
      </w:r>
    </w:p>
    <w:p w14:paraId="1F386C44" w14:textId="4FD3C847" w:rsidR="00B4043E" w:rsidRPr="00EC24F7" w:rsidRDefault="00DE0A37" w:rsidP="00220EBF">
      <w:pPr>
        <w:pStyle w:val="ListParagraph"/>
        <w:numPr>
          <w:ilvl w:val="0"/>
          <w:numId w:val="2"/>
        </w:numPr>
        <w:spacing w:before="120" w:beforeAutospacing="0" w:after="360" w:afterAutospacing="0" w:line="480" w:lineRule="auto"/>
        <w:jc w:val="both"/>
        <w:rPr>
          <w:rFonts w:cs="Arial"/>
          <w:lang w:val="en-GB"/>
        </w:rPr>
      </w:pPr>
      <w:r w:rsidRPr="00EC24F7">
        <w:rPr>
          <w:rFonts w:cs="Arial"/>
          <w:color w:val="000000"/>
          <w:lang w:val="en-GB"/>
        </w:rPr>
        <w:t xml:space="preserve">On 6 August 2025 this Court granted an </w:t>
      </w:r>
      <w:r w:rsidR="00C17F6D">
        <w:rPr>
          <w:rFonts w:cs="Arial"/>
          <w:color w:val="000000"/>
          <w:lang w:val="en-GB"/>
        </w:rPr>
        <w:t>o</w:t>
      </w:r>
      <w:r w:rsidRPr="00EC24F7">
        <w:rPr>
          <w:rFonts w:cs="Arial"/>
          <w:color w:val="000000"/>
          <w:lang w:val="en-GB"/>
        </w:rPr>
        <w:t xml:space="preserve">rder (‘the August 2025 Order’) </w:t>
      </w:r>
      <w:r w:rsidR="0066130D" w:rsidRPr="00EC24F7">
        <w:rPr>
          <w:rFonts w:cs="Arial"/>
          <w:color w:val="000000"/>
          <w:lang w:val="en-GB"/>
        </w:rPr>
        <w:t>in</w:t>
      </w:r>
      <w:r w:rsidRPr="00EC24F7">
        <w:rPr>
          <w:rFonts w:cs="Arial"/>
          <w:lang w:val="en-GB"/>
        </w:rPr>
        <w:t xml:space="preserve">  </w:t>
      </w:r>
      <w:r w:rsidRPr="00EC24F7">
        <w:rPr>
          <w:rFonts w:cs="Arial"/>
          <w:color w:val="000000"/>
          <w:lang w:val="en-GB"/>
        </w:rPr>
        <w:t>terms of</w:t>
      </w:r>
      <w:r w:rsidR="00601667" w:rsidRPr="00EC24F7">
        <w:rPr>
          <w:rFonts w:cs="Arial"/>
          <w:color w:val="000000"/>
          <w:lang w:val="en-GB"/>
        </w:rPr>
        <w:t xml:space="preserve"> which, </w:t>
      </w:r>
      <w:r w:rsidR="00601667" w:rsidRPr="00EC24F7">
        <w:rPr>
          <w:rFonts w:cs="Arial"/>
          <w:i/>
          <w:iCs/>
          <w:color w:val="000000"/>
          <w:lang w:val="en-GB"/>
        </w:rPr>
        <w:t>inter alia</w:t>
      </w:r>
      <w:r w:rsidR="00601667" w:rsidRPr="00EC24F7">
        <w:rPr>
          <w:rFonts w:cs="Arial"/>
          <w:color w:val="000000"/>
          <w:lang w:val="en-GB"/>
        </w:rPr>
        <w:t xml:space="preserve">, </w:t>
      </w:r>
      <w:r w:rsidRPr="00EC24F7">
        <w:rPr>
          <w:rFonts w:cs="Arial"/>
          <w:color w:val="000000"/>
          <w:lang w:val="en-GB"/>
        </w:rPr>
        <w:t>the City together with DHA, supported by the City’s Law Enforcement and SAPS were required to conduct a joint survey of the unlawful occupiers by 7 October 2025.</w:t>
      </w:r>
      <w:r w:rsidR="00FD7D0D" w:rsidRPr="00EC24F7">
        <w:rPr>
          <w:rStyle w:val="FootnoteReference"/>
          <w:rFonts w:cs="Arial"/>
          <w:color w:val="000000"/>
          <w:lang w:val="en-GB"/>
        </w:rPr>
        <w:footnoteReference w:id="93"/>
      </w:r>
      <w:r w:rsidR="0095773B" w:rsidRPr="00EC24F7">
        <w:rPr>
          <w:rFonts w:cs="Arial"/>
          <w:color w:val="000000"/>
          <w:lang w:val="en-GB"/>
        </w:rPr>
        <w:t xml:space="preserve">  On 5 October 2025 acting in terms of the August 2025 Order, the City and DHA conducted the first survey of the unlawful occupiers.</w:t>
      </w:r>
      <w:r w:rsidR="0095773B" w:rsidRPr="00EC24F7">
        <w:rPr>
          <w:rStyle w:val="FootnoteReference"/>
          <w:rFonts w:cs="Arial"/>
          <w:color w:val="000000"/>
          <w:lang w:val="en-GB"/>
        </w:rPr>
        <w:footnoteReference w:id="94"/>
      </w:r>
      <w:r w:rsidR="00466617" w:rsidRPr="00EC24F7">
        <w:rPr>
          <w:rFonts w:cs="Arial"/>
          <w:color w:val="000000"/>
          <w:lang w:val="en-GB"/>
        </w:rPr>
        <w:t xml:space="preserve">  </w:t>
      </w:r>
      <w:r w:rsidR="00466617" w:rsidRPr="00EC24F7">
        <w:rPr>
          <w:rFonts w:cs="Arial"/>
          <w:lang w:val="en-GB"/>
        </w:rPr>
        <w:t>As NU only came on record for the unlawful occupiers on 18 September 2025, the August 2025 Order made no provision for NU to participate in the October 2025 survey.</w:t>
      </w:r>
      <w:r w:rsidR="00466617" w:rsidRPr="00EC24F7">
        <w:rPr>
          <w:rStyle w:val="FootnoteReference"/>
          <w:rFonts w:cs="Arial"/>
          <w:lang w:val="en-GB"/>
        </w:rPr>
        <w:footnoteReference w:id="95"/>
      </w:r>
      <w:r w:rsidR="002D5741" w:rsidRPr="00EC24F7">
        <w:rPr>
          <w:rFonts w:cs="Arial"/>
          <w:lang w:val="en-GB"/>
        </w:rPr>
        <w:t xml:space="preserve">  </w:t>
      </w:r>
    </w:p>
    <w:p w14:paraId="64EB9FF6" w14:textId="324205F6" w:rsidR="003F1EF4" w:rsidRPr="00EC24F7" w:rsidRDefault="0000090B" w:rsidP="003F1EF4">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lastRenderedPageBreak/>
        <w:t xml:space="preserve">Notwithstanding that the October 2025 survey was clearly conducted in terms of and in accordance with the August 2025 Order, </w:t>
      </w:r>
      <w:r w:rsidR="002D5741" w:rsidRPr="00EC24F7">
        <w:rPr>
          <w:rFonts w:cs="Arial"/>
          <w:lang w:val="en-GB"/>
        </w:rPr>
        <w:t>NU addressed correspondence to the parties</w:t>
      </w:r>
      <w:r w:rsidRPr="00EC24F7">
        <w:rPr>
          <w:rFonts w:cs="Arial"/>
          <w:lang w:val="en-GB"/>
        </w:rPr>
        <w:t xml:space="preserve"> on 16 October 2025</w:t>
      </w:r>
      <w:r w:rsidR="002D5741" w:rsidRPr="00EC24F7">
        <w:rPr>
          <w:rFonts w:cs="Arial"/>
          <w:lang w:val="en-GB"/>
        </w:rPr>
        <w:t xml:space="preserve"> in which they </w:t>
      </w:r>
      <w:r w:rsidR="00220EBF" w:rsidRPr="00EC24F7">
        <w:rPr>
          <w:rFonts w:cs="Arial"/>
          <w:lang w:val="en-GB"/>
        </w:rPr>
        <w:t>state</w:t>
      </w:r>
      <w:r w:rsidR="00AD0513">
        <w:rPr>
          <w:rFonts w:cs="Arial"/>
          <w:lang w:val="en-GB"/>
        </w:rPr>
        <w:t>d</w:t>
      </w:r>
      <w:r w:rsidR="00220EBF" w:rsidRPr="00EC24F7">
        <w:rPr>
          <w:rFonts w:cs="Arial"/>
          <w:lang w:val="en-GB"/>
        </w:rPr>
        <w:t xml:space="preserve">, </w:t>
      </w:r>
      <w:r w:rsidR="00220EBF" w:rsidRPr="00EC24F7">
        <w:rPr>
          <w:rFonts w:cs="Arial"/>
          <w:i/>
          <w:iCs/>
          <w:lang w:val="en-GB"/>
        </w:rPr>
        <w:t>inter alia</w:t>
      </w:r>
      <w:r w:rsidR="00220EBF" w:rsidRPr="00EC24F7">
        <w:rPr>
          <w:rFonts w:cs="Arial"/>
          <w:lang w:val="en-GB"/>
        </w:rPr>
        <w:t xml:space="preserve">, that </w:t>
      </w:r>
      <w:r w:rsidR="004C57DA" w:rsidRPr="00EC24F7">
        <w:rPr>
          <w:rFonts w:cs="Arial"/>
          <w:color w:val="000000"/>
          <w:lang w:val="en-GB"/>
        </w:rPr>
        <w:t>it</w:t>
      </w:r>
      <w:r w:rsidR="004C57DA" w:rsidRPr="00EC24F7">
        <w:rPr>
          <w:rFonts w:cs="Arial"/>
          <w:lang w:val="en-GB"/>
        </w:rPr>
        <w:t xml:space="preserve"> was </w:t>
      </w:r>
      <w:r w:rsidR="004C57DA" w:rsidRPr="00EC24F7">
        <w:rPr>
          <w:rFonts w:cs="Arial"/>
          <w:i/>
          <w:iCs/>
          <w:lang w:val="en-GB"/>
        </w:rPr>
        <w:t>‘inappropriate and prejudicial for [the City] and the DHA to engage with [NU’s] clients in [their] absence</w:t>
      </w:r>
      <w:r w:rsidR="004C57DA" w:rsidRPr="00EC24F7">
        <w:rPr>
          <w:rFonts w:cs="Arial"/>
          <w:lang w:val="en-GB"/>
        </w:rPr>
        <w:t>’.</w:t>
      </w:r>
      <w:r w:rsidR="00220EBF" w:rsidRPr="00EC24F7">
        <w:rPr>
          <w:rStyle w:val="FootnoteReference"/>
          <w:rFonts w:cs="Arial"/>
          <w:lang w:val="en-GB"/>
        </w:rPr>
        <w:footnoteReference w:id="96"/>
      </w:r>
      <w:r w:rsidR="004C57DA" w:rsidRPr="00EC24F7">
        <w:rPr>
          <w:rFonts w:cs="Arial"/>
          <w:lang w:val="en-GB"/>
        </w:rPr>
        <w:t xml:space="preserve">  </w:t>
      </w:r>
      <w:r w:rsidR="003F1EF4" w:rsidRPr="00EC24F7">
        <w:rPr>
          <w:rFonts w:cs="Arial"/>
          <w:lang w:val="en-GB"/>
        </w:rPr>
        <w:t xml:space="preserve">As </w:t>
      </w:r>
      <w:r w:rsidR="00367506" w:rsidRPr="00EC24F7">
        <w:rPr>
          <w:rFonts w:cs="Arial"/>
          <w:lang w:val="en-GB"/>
        </w:rPr>
        <w:t xml:space="preserve">both the City’s attorneys and </w:t>
      </w:r>
      <w:r w:rsidR="003F1EF4" w:rsidRPr="00EC24F7">
        <w:rPr>
          <w:rFonts w:cs="Arial"/>
          <w:lang w:val="en-GB"/>
        </w:rPr>
        <w:t xml:space="preserve">Transnet’s attorneys correctly pointed out in their </w:t>
      </w:r>
      <w:r w:rsidR="00367506" w:rsidRPr="00EC24F7">
        <w:rPr>
          <w:rFonts w:cs="Arial"/>
          <w:lang w:val="en-GB"/>
        </w:rPr>
        <w:t xml:space="preserve">respective </w:t>
      </w:r>
      <w:r w:rsidR="003F1EF4" w:rsidRPr="00EC24F7">
        <w:rPr>
          <w:rFonts w:cs="Arial"/>
          <w:lang w:val="en-GB"/>
        </w:rPr>
        <w:t xml:space="preserve">correspondence to NU dated 20 October 2025, NU </w:t>
      </w:r>
      <w:r w:rsidR="003F1EF4" w:rsidRPr="00EC24F7">
        <w:rPr>
          <w:rFonts w:eastAsiaTheme="minorHAnsi" w:cs="Arial"/>
          <w:color w:val="000000"/>
          <w:lang w:val="en-GB"/>
        </w:rPr>
        <w:t>was fully aware of</w:t>
      </w:r>
      <w:r w:rsidR="00367506" w:rsidRPr="00EC24F7">
        <w:rPr>
          <w:rFonts w:eastAsiaTheme="minorHAnsi" w:cs="Arial"/>
          <w:color w:val="000000"/>
          <w:lang w:val="en-GB"/>
        </w:rPr>
        <w:t xml:space="preserve"> and in possession of</w:t>
      </w:r>
      <w:r w:rsidR="003F1EF4" w:rsidRPr="00EC24F7">
        <w:rPr>
          <w:rFonts w:eastAsiaTheme="minorHAnsi" w:cs="Arial"/>
          <w:color w:val="000000"/>
          <w:lang w:val="en-GB"/>
        </w:rPr>
        <w:t xml:space="preserve"> the </w:t>
      </w:r>
      <w:r w:rsidR="00367506" w:rsidRPr="00EC24F7">
        <w:rPr>
          <w:rFonts w:eastAsiaTheme="minorHAnsi" w:cs="Arial"/>
          <w:color w:val="000000"/>
          <w:lang w:val="en-GB"/>
        </w:rPr>
        <w:t>August 2025 </w:t>
      </w:r>
      <w:r w:rsidR="003F1EF4" w:rsidRPr="00EC24F7">
        <w:rPr>
          <w:rFonts w:eastAsiaTheme="minorHAnsi" w:cs="Arial"/>
          <w:color w:val="000000"/>
          <w:lang w:val="en-GB"/>
        </w:rPr>
        <w:t>Order which expressly provide</w:t>
      </w:r>
      <w:r w:rsidR="00367506" w:rsidRPr="00EC24F7">
        <w:rPr>
          <w:rFonts w:eastAsiaTheme="minorHAnsi" w:cs="Arial"/>
          <w:color w:val="000000"/>
          <w:lang w:val="en-GB"/>
        </w:rPr>
        <w:t>d</w:t>
      </w:r>
      <w:r w:rsidR="003F1EF4" w:rsidRPr="00EC24F7">
        <w:rPr>
          <w:rFonts w:eastAsiaTheme="minorHAnsi" w:cs="Arial"/>
          <w:color w:val="000000"/>
          <w:lang w:val="en-GB"/>
        </w:rPr>
        <w:t xml:space="preserve"> that the City and DHA were to conduct </w:t>
      </w:r>
      <w:r w:rsidR="00367506" w:rsidRPr="00EC24F7">
        <w:rPr>
          <w:rFonts w:eastAsiaTheme="minorHAnsi" w:cs="Arial"/>
          <w:color w:val="000000"/>
          <w:lang w:val="en-GB"/>
        </w:rPr>
        <w:t xml:space="preserve">a </w:t>
      </w:r>
      <w:r w:rsidR="003F1EF4" w:rsidRPr="00EC24F7">
        <w:rPr>
          <w:rFonts w:eastAsiaTheme="minorHAnsi" w:cs="Arial"/>
          <w:color w:val="000000"/>
          <w:lang w:val="en-GB"/>
        </w:rPr>
        <w:t>survey by 7 October 2025</w:t>
      </w:r>
      <w:r w:rsidR="006A2AE2" w:rsidRPr="00EC24F7">
        <w:rPr>
          <w:rFonts w:eastAsiaTheme="minorHAnsi" w:cs="Arial"/>
          <w:color w:val="000000"/>
          <w:lang w:val="en-GB"/>
        </w:rPr>
        <w:t xml:space="preserve">, thus </w:t>
      </w:r>
      <w:r w:rsidR="003F1EF4" w:rsidRPr="00EC24F7">
        <w:rPr>
          <w:rFonts w:eastAsiaTheme="minorHAnsi" w:cs="Arial"/>
          <w:color w:val="000000"/>
          <w:lang w:val="en-GB"/>
        </w:rPr>
        <w:t>if NU had wanted to be present during the October survey,</w:t>
      </w:r>
      <w:r w:rsidR="006A2AE2" w:rsidRPr="00EC24F7">
        <w:rPr>
          <w:rFonts w:eastAsiaTheme="minorHAnsi" w:cs="Arial"/>
          <w:color w:val="000000"/>
          <w:lang w:val="en-GB"/>
        </w:rPr>
        <w:t xml:space="preserve"> </w:t>
      </w:r>
      <w:r w:rsidR="006A2AE2" w:rsidRPr="00EC24F7">
        <w:rPr>
          <w:rFonts w:cs="Arial"/>
          <w:color w:val="000000"/>
          <w:lang w:val="en-GB"/>
        </w:rPr>
        <w:t>they could have requested to be part of the survey</w:t>
      </w:r>
      <w:r w:rsidR="006A2AE2" w:rsidRPr="00EC24F7">
        <w:rPr>
          <w:rFonts w:eastAsiaTheme="minorHAnsi" w:cs="Arial"/>
          <w:color w:val="000000"/>
          <w:lang w:val="en-GB"/>
        </w:rPr>
        <w:t xml:space="preserve"> as </w:t>
      </w:r>
      <w:r w:rsidR="00421753" w:rsidRPr="00EC24F7">
        <w:rPr>
          <w:rFonts w:eastAsiaTheme="minorHAnsi" w:cs="Arial"/>
          <w:color w:val="000000"/>
          <w:lang w:val="en-GB"/>
        </w:rPr>
        <w:t>t</w:t>
      </w:r>
      <w:r w:rsidR="003F1EF4" w:rsidRPr="00EC24F7">
        <w:rPr>
          <w:rFonts w:eastAsiaTheme="minorHAnsi" w:cs="Arial"/>
          <w:color w:val="000000"/>
          <w:lang w:val="en-GB"/>
        </w:rPr>
        <w:t>here was ample opportunity to communicate such an intention to the parties.</w:t>
      </w:r>
      <w:r w:rsidR="003F1EF4" w:rsidRPr="00EC24F7">
        <w:rPr>
          <w:rStyle w:val="FootnoteReference"/>
          <w:rFonts w:eastAsiaTheme="minorHAnsi" w:cs="Arial"/>
          <w:color w:val="000000"/>
          <w:lang w:val="en-GB"/>
        </w:rPr>
        <w:footnoteReference w:id="97"/>
      </w:r>
      <w:r w:rsidR="00367506" w:rsidRPr="00EC24F7">
        <w:rPr>
          <w:rFonts w:eastAsiaTheme="minorHAnsi" w:cs="Arial"/>
          <w:i/>
          <w:iCs/>
          <w:color w:val="000000"/>
          <w:lang w:val="en-GB"/>
        </w:rPr>
        <w:t xml:space="preserve"> </w:t>
      </w:r>
      <w:r w:rsidR="00E02B65" w:rsidRPr="00EC24F7">
        <w:rPr>
          <w:rFonts w:eastAsiaTheme="minorHAnsi" w:cs="Arial"/>
          <w:i/>
          <w:iCs/>
          <w:color w:val="000000"/>
          <w:lang w:val="en-GB"/>
        </w:rPr>
        <w:t xml:space="preserve"> </w:t>
      </w:r>
      <w:r w:rsidR="00E02B65" w:rsidRPr="00EC24F7">
        <w:rPr>
          <w:rFonts w:eastAsiaTheme="minorHAnsi" w:cs="Arial"/>
          <w:color w:val="000000"/>
          <w:lang w:val="en-GB"/>
        </w:rPr>
        <w:t xml:space="preserve"> There was nothing prejudicial or inappropriate about the City’s conduct.</w:t>
      </w:r>
    </w:p>
    <w:p w14:paraId="4F97A00F" w14:textId="73AB1FBE" w:rsidR="009D118A" w:rsidRPr="00EC24F7" w:rsidRDefault="00182982" w:rsidP="00EB48A5">
      <w:pPr>
        <w:pStyle w:val="ListParagraph"/>
        <w:numPr>
          <w:ilvl w:val="0"/>
          <w:numId w:val="2"/>
        </w:numPr>
        <w:spacing w:before="120" w:beforeAutospacing="0" w:after="360" w:afterAutospacing="0" w:line="480" w:lineRule="auto"/>
        <w:jc w:val="both"/>
        <w:rPr>
          <w:rFonts w:cs="Arial"/>
          <w:lang w:val="en-GB"/>
        </w:rPr>
      </w:pPr>
      <w:r w:rsidRPr="00EC24F7">
        <w:rPr>
          <w:rFonts w:eastAsiaTheme="minorHAnsi" w:cs="Arial"/>
          <w:color w:val="000000"/>
          <w:lang w:val="en-GB"/>
        </w:rPr>
        <w:t xml:space="preserve">NU persisted with its position that no survey had been conducted and </w:t>
      </w:r>
      <w:r w:rsidR="00183A7D" w:rsidRPr="00EC24F7">
        <w:rPr>
          <w:rFonts w:cs="Arial"/>
          <w:lang w:val="en-GB"/>
        </w:rPr>
        <w:t>in an attempt to progress matters the City circulated a proposed draft order to regulate the further conduct of the matter which provided for a further survey to be conducted.</w:t>
      </w:r>
      <w:r w:rsidR="00183A7D" w:rsidRPr="00EC24F7">
        <w:rPr>
          <w:rStyle w:val="FootnoteReference"/>
          <w:rFonts w:cs="Arial"/>
          <w:lang w:val="en-GB"/>
        </w:rPr>
        <w:footnoteReference w:id="98"/>
      </w:r>
      <w:r w:rsidR="006217F7" w:rsidRPr="00EC24F7">
        <w:rPr>
          <w:rFonts w:cs="Arial"/>
          <w:lang w:val="en-GB"/>
        </w:rPr>
        <w:t xml:space="preserve"> </w:t>
      </w:r>
      <w:r w:rsidR="00EB48A5" w:rsidRPr="00EC24F7">
        <w:rPr>
          <w:rFonts w:cs="Arial"/>
          <w:lang w:val="en-GB"/>
        </w:rPr>
        <w:t xml:space="preserve"> </w:t>
      </w:r>
      <w:r w:rsidR="006217F7" w:rsidRPr="00EC24F7">
        <w:rPr>
          <w:rFonts w:cs="Arial"/>
          <w:color w:val="000000"/>
          <w:lang w:val="en-GB"/>
        </w:rPr>
        <w:t xml:space="preserve">As a consequence </w:t>
      </w:r>
      <w:r w:rsidR="00EB48A5" w:rsidRPr="00EC24F7">
        <w:rPr>
          <w:rFonts w:cs="Arial"/>
          <w:color w:val="000000"/>
          <w:lang w:val="en-GB"/>
        </w:rPr>
        <w:t xml:space="preserve">of </w:t>
      </w:r>
      <w:r w:rsidR="006217F7" w:rsidRPr="00EC24F7">
        <w:rPr>
          <w:rFonts w:cs="Arial"/>
          <w:color w:val="000000"/>
          <w:lang w:val="en-GB"/>
        </w:rPr>
        <w:t>discussions between the parties</w:t>
      </w:r>
      <w:r w:rsidR="00EB48A5" w:rsidRPr="00EC24F7">
        <w:rPr>
          <w:rFonts w:cs="Arial"/>
          <w:color w:val="000000"/>
          <w:lang w:val="en-GB"/>
        </w:rPr>
        <w:t>’</w:t>
      </w:r>
      <w:r w:rsidR="006217F7" w:rsidRPr="00EC24F7">
        <w:rPr>
          <w:rFonts w:cs="Arial"/>
          <w:color w:val="000000"/>
          <w:lang w:val="en-GB"/>
        </w:rPr>
        <w:t xml:space="preserve"> respective legal teams by 28 November 2025 the City, the unlawful occupiers and Transnet had tentatively agreed to a second survey taking place on 7 December 2025 </w:t>
      </w:r>
      <w:r w:rsidR="00865254">
        <w:rPr>
          <w:rFonts w:cs="Arial"/>
          <w:color w:val="000000"/>
          <w:lang w:val="en-GB"/>
        </w:rPr>
        <w:t xml:space="preserve">but </w:t>
      </w:r>
      <w:r w:rsidR="006217F7" w:rsidRPr="00EC24F7">
        <w:rPr>
          <w:rFonts w:cs="Arial"/>
          <w:color w:val="000000"/>
          <w:lang w:val="en-GB"/>
        </w:rPr>
        <w:t>subject to DHA confirming that this date was feasible.</w:t>
      </w:r>
      <w:r w:rsidR="006217F7" w:rsidRPr="00EC24F7">
        <w:rPr>
          <w:rStyle w:val="FootnoteReference"/>
          <w:rFonts w:cs="Arial"/>
          <w:color w:val="000000"/>
          <w:lang w:val="en-GB"/>
        </w:rPr>
        <w:footnoteReference w:id="99"/>
      </w:r>
    </w:p>
    <w:p w14:paraId="1728F150" w14:textId="13D76279" w:rsidR="00191916" w:rsidRPr="00EC24F7" w:rsidRDefault="00EB48A5" w:rsidP="00F2650A">
      <w:pPr>
        <w:pStyle w:val="ListParagraph"/>
        <w:numPr>
          <w:ilvl w:val="0"/>
          <w:numId w:val="2"/>
        </w:numPr>
        <w:spacing w:before="120" w:beforeAutospacing="0" w:after="360" w:afterAutospacing="0" w:line="480" w:lineRule="auto"/>
        <w:jc w:val="both"/>
        <w:rPr>
          <w:rFonts w:cs="Arial"/>
          <w:lang w:val="en-GB"/>
        </w:rPr>
      </w:pPr>
      <w:r w:rsidRPr="00EC24F7">
        <w:rPr>
          <w:rFonts w:cs="Arial"/>
          <w:color w:val="000000"/>
          <w:lang w:val="en-GB"/>
        </w:rPr>
        <w:t xml:space="preserve">On 2 December 2025 the City’s attorneys advised </w:t>
      </w:r>
      <w:r w:rsidR="00492C86" w:rsidRPr="00EC24F7">
        <w:rPr>
          <w:rFonts w:cs="Arial"/>
          <w:color w:val="000000"/>
          <w:lang w:val="en-GB"/>
        </w:rPr>
        <w:t xml:space="preserve">NU and Transnet’s attorneys that DHA officials had met with City officials and had indicated that the second </w:t>
      </w:r>
      <w:r w:rsidR="00492C86" w:rsidRPr="00EC24F7">
        <w:rPr>
          <w:rFonts w:cs="Arial"/>
          <w:color w:val="000000"/>
          <w:lang w:val="en-GB"/>
        </w:rPr>
        <w:lastRenderedPageBreak/>
        <w:t>survey would take place on</w:t>
      </w:r>
      <w:r w:rsidR="002A2AF0">
        <w:rPr>
          <w:rFonts w:cs="Arial"/>
          <w:color w:val="000000"/>
          <w:lang w:val="en-GB"/>
        </w:rPr>
        <w:t xml:space="preserve"> </w:t>
      </w:r>
      <w:r w:rsidR="00492C86" w:rsidRPr="00EC24F7">
        <w:rPr>
          <w:rFonts w:cs="Arial"/>
          <w:color w:val="000000"/>
          <w:lang w:val="en-GB"/>
        </w:rPr>
        <w:t xml:space="preserve">5 December 2025 at </w:t>
      </w:r>
      <w:r w:rsidR="00492C86" w:rsidRPr="00EC24F7">
        <w:rPr>
          <w:rFonts w:cs="Arial"/>
          <w:color w:val="000000"/>
          <w:u w:val="single"/>
          <w:lang w:val="en-GB"/>
        </w:rPr>
        <w:t>04h00</w:t>
      </w:r>
      <w:r w:rsidR="00492C86" w:rsidRPr="00EC24F7">
        <w:rPr>
          <w:rFonts w:cs="Arial"/>
          <w:color w:val="000000"/>
          <w:lang w:val="en-GB"/>
        </w:rPr>
        <w:t xml:space="preserve"> for operational reasons.</w:t>
      </w:r>
      <w:r w:rsidR="00492C86" w:rsidRPr="00EC24F7">
        <w:rPr>
          <w:rStyle w:val="FootnoteReference"/>
          <w:rFonts w:cs="Arial"/>
          <w:color w:val="000000"/>
          <w:lang w:val="en-GB"/>
        </w:rPr>
        <w:footnoteReference w:id="100"/>
      </w:r>
      <w:r w:rsidR="00954135" w:rsidRPr="00EC24F7">
        <w:rPr>
          <w:rFonts w:cs="Arial"/>
          <w:color w:val="000000"/>
          <w:lang w:val="en-GB"/>
        </w:rPr>
        <w:t xml:space="preserve">  </w:t>
      </w:r>
    </w:p>
    <w:p w14:paraId="2ADA1D9E" w14:textId="77777777" w:rsidR="00121F78" w:rsidRPr="00121F78" w:rsidRDefault="00954135" w:rsidP="009B4B6F">
      <w:pPr>
        <w:pStyle w:val="ListParagraph"/>
        <w:numPr>
          <w:ilvl w:val="0"/>
          <w:numId w:val="2"/>
        </w:numPr>
        <w:spacing w:before="120" w:beforeAutospacing="0" w:after="360" w:afterAutospacing="0" w:line="480" w:lineRule="auto"/>
        <w:jc w:val="both"/>
        <w:rPr>
          <w:rFonts w:cs="Arial"/>
          <w:lang w:val="en-GB"/>
        </w:rPr>
      </w:pPr>
      <w:r w:rsidRPr="00EC24F7">
        <w:rPr>
          <w:rFonts w:cs="Arial"/>
          <w:color w:val="000000"/>
          <w:lang w:val="en-GB"/>
        </w:rPr>
        <w:t xml:space="preserve">NU, however, misread the correspondence and assumed that the survey was to take place at </w:t>
      </w:r>
      <w:r w:rsidRPr="002A2AF0">
        <w:rPr>
          <w:rFonts w:cs="Arial"/>
          <w:color w:val="000000"/>
          <w:u w:val="single"/>
          <w:lang w:val="en-GB"/>
        </w:rPr>
        <w:t>16h00</w:t>
      </w:r>
      <w:r w:rsidR="00191916" w:rsidRPr="00EC24F7">
        <w:rPr>
          <w:rFonts w:cs="Arial"/>
          <w:color w:val="000000"/>
          <w:lang w:val="en-GB"/>
        </w:rPr>
        <w:t xml:space="preserve"> and for some reason took issue with the appropriateness of the survey taking place at 16h00.  But when they were advised</w:t>
      </w:r>
      <w:r w:rsidR="007575AA" w:rsidRPr="00EC24F7">
        <w:rPr>
          <w:rFonts w:cs="Arial"/>
          <w:color w:val="000000"/>
          <w:lang w:val="en-GB"/>
        </w:rPr>
        <w:t xml:space="preserve"> by the City’s attorneys</w:t>
      </w:r>
      <w:r w:rsidR="00191916" w:rsidRPr="00EC24F7">
        <w:rPr>
          <w:rFonts w:cs="Arial"/>
          <w:color w:val="000000"/>
          <w:lang w:val="en-GB"/>
        </w:rPr>
        <w:t xml:space="preserve"> that the survey was in fact scheduled to take place at 04h00 </w:t>
      </w:r>
      <w:r w:rsidR="007575AA" w:rsidRPr="00EC24F7">
        <w:rPr>
          <w:rFonts w:cs="Arial"/>
          <w:color w:val="000000"/>
          <w:lang w:val="en-GB"/>
        </w:rPr>
        <w:t>NU took issue with that</w:t>
      </w:r>
      <w:r w:rsidR="00342D61" w:rsidRPr="00EC24F7">
        <w:rPr>
          <w:rFonts w:cs="Arial"/>
          <w:color w:val="000000"/>
          <w:lang w:val="en-GB"/>
        </w:rPr>
        <w:t xml:space="preserve"> time</w:t>
      </w:r>
      <w:r w:rsidR="007575AA" w:rsidRPr="00EC24F7">
        <w:rPr>
          <w:rFonts w:cs="Arial"/>
          <w:color w:val="000000"/>
          <w:lang w:val="en-GB"/>
        </w:rPr>
        <w:t xml:space="preserve"> as well, stating that 04h00 </w:t>
      </w:r>
      <w:r w:rsidR="007575AA" w:rsidRPr="00EC24F7">
        <w:rPr>
          <w:rFonts w:cs="Arial"/>
          <w:color w:val="000000"/>
          <w:shd w:val="clear" w:color="auto" w:fill="FFFFFF"/>
          <w:lang w:val="en-GB"/>
        </w:rPr>
        <w:t>‘</w:t>
      </w:r>
      <w:r w:rsidR="007575AA" w:rsidRPr="00EC24F7">
        <w:rPr>
          <w:rFonts w:cs="Arial"/>
          <w:i/>
          <w:iCs/>
          <w:color w:val="000000"/>
          <w:lang w:val="en-GB"/>
        </w:rPr>
        <w:t>does not work for NU as we have multiple matters being heard in the High Court on Friday morning</w:t>
      </w:r>
      <w:r w:rsidR="007575AA" w:rsidRPr="00EC24F7">
        <w:rPr>
          <w:rFonts w:cs="Arial"/>
          <w:color w:val="000000"/>
          <w:lang w:val="en-GB"/>
        </w:rPr>
        <w:t>’</w:t>
      </w:r>
      <w:r w:rsidR="00054D5C" w:rsidRPr="00EC24F7">
        <w:rPr>
          <w:rFonts w:cs="Arial"/>
          <w:color w:val="000000"/>
          <w:lang w:val="en-GB"/>
        </w:rPr>
        <w:t>, and inaccurately contended that the date of 7 December 2025 had been agreed on.</w:t>
      </w:r>
      <w:r w:rsidR="00342D61" w:rsidRPr="00EC24F7">
        <w:rPr>
          <w:rStyle w:val="FootnoteReference"/>
          <w:rFonts w:cs="Arial"/>
          <w:color w:val="000000"/>
          <w:lang w:val="en-GB"/>
        </w:rPr>
        <w:footnoteReference w:id="101"/>
      </w:r>
      <w:r w:rsidR="00054D5C" w:rsidRPr="00EC24F7">
        <w:rPr>
          <w:rFonts w:cs="Arial"/>
          <w:color w:val="000000"/>
          <w:lang w:val="en-GB"/>
        </w:rPr>
        <w:t xml:space="preserve">  </w:t>
      </w:r>
    </w:p>
    <w:p w14:paraId="1DC2CB33" w14:textId="0654A5B7" w:rsidR="009D118A" w:rsidRPr="00EC24F7" w:rsidRDefault="00054D5C" w:rsidP="009B4B6F">
      <w:pPr>
        <w:pStyle w:val="ListParagraph"/>
        <w:numPr>
          <w:ilvl w:val="0"/>
          <w:numId w:val="2"/>
        </w:numPr>
        <w:spacing w:before="120" w:beforeAutospacing="0" w:after="360" w:afterAutospacing="0" w:line="480" w:lineRule="auto"/>
        <w:jc w:val="both"/>
        <w:rPr>
          <w:rFonts w:cs="Arial"/>
          <w:lang w:val="en-GB"/>
        </w:rPr>
      </w:pPr>
      <w:r w:rsidRPr="00EC24F7">
        <w:rPr>
          <w:rFonts w:cs="Arial"/>
          <w:color w:val="000000"/>
          <w:lang w:val="en-GB"/>
        </w:rPr>
        <w:t xml:space="preserve">Despite the fact that this date was not in fact agreed on and despite the various inaccuracies </w:t>
      </w:r>
      <w:r w:rsidR="006F5C2E" w:rsidRPr="00EC24F7">
        <w:rPr>
          <w:rFonts w:cs="Arial"/>
          <w:color w:val="000000"/>
          <w:lang w:val="en-GB"/>
        </w:rPr>
        <w:t xml:space="preserve">in NU's correspondence having been repeatedly pointed out to them by both the City’s attorneys and Transnet’s attorneys, NU persisted in their position going so far as to </w:t>
      </w:r>
      <w:r w:rsidR="001F796A" w:rsidRPr="00EC24F7">
        <w:rPr>
          <w:rFonts w:cs="Arial"/>
          <w:color w:val="000000"/>
          <w:lang w:val="en-GB"/>
        </w:rPr>
        <w:t>repeat their inaccurate version in correspondence addressed to the Judge President.</w:t>
      </w:r>
      <w:r w:rsidR="001F796A" w:rsidRPr="00EC24F7">
        <w:rPr>
          <w:rStyle w:val="FootnoteReference"/>
          <w:rFonts w:cs="Arial"/>
          <w:color w:val="000000"/>
          <w:lang w:val="en-GB"/>
        </w:rPr>
        <w:footnoteReference w:id="102"/>
      </w:r>
      <w:r w:rsidR="00A14853" w:rsidRPr="00EC24F7">
        <w:rPr>
          <w:rFonts w:cs="Arial"/>
          <w:color w:val="000000"/>
          <w:lang w:val="en-GB"/>
        </w:rPr>
        <w:t xml:space="preserve">  </w:t>
      </w:r>
      <w:r w:rsidR="00A14853" w:rsidRPr="00EC24F7">
        <w:rPr>
          <w:rFonts w:cs="Arial"/>
          <w:lang w:val="en-GB"/>
        </w:rPr>
        <w:t>U</w:t>
      </w:r>
      <w:r w:rsidR="006B50BE" w:rsidRPr="00EC24F7">
        <w:rPr>
          <w:rFonts w:cs="Arial"/>
          <w:lang w:val="en-GB"/>
        </w:rPr>
        <w:t xml:space="preserve">ltimately, the </w:t>
      </w:r>
      <w:r w:rsidR="00A14853" w:rsidRPr="00EC24F7">
        <w:rPr>
          <w:rFonts w:cs="Arial"/>
          <w:lang w:val="en-GB"/>
        </w:rPr>
        <w:t>parties</w:t>
      </w:r>
      <w:r w:rsidR="006B50BE" w:rsidRPr="00EC24F7">
        <w:rPr>
          <w:rFonts w:cs="Arial"/>
          <w:lang w:val="en-GB"/>
        </w:rPr>
        <w:t xml:space="preserve"> agreed to a further conduct order </w:t>
      </w:r>
      <w:r w:rsidR="006B50BE" w:rsidRPr="00EC24F7">
        <w:rPr>
          <w:rFonts w:cs="Arial"/>
          <w:color w:val="000000"/>
          <w:lang w:val="en-GB"/>
        </w:rPr>
        <w:t>(‘the December 2025 Order’)</w:t>
      </w:r>
      <w:r w:rsidR="006B50BE" w:rsidRPr="00EC24F7">
        <w:rPr>
          <w:rFonts w:cs="Arial"/>
          <w:lang w:val="en-GB"/>
        </w:rPr>
        <w:t xml:space="preserve"> which, </w:t>
      </w:r>
      <w:r w:rsidR="006B50BE" w:rsidRPr="00EC24F7">
        <w:rPr>
          <w:rFonts w:cs="Arial"/>
          <w:i/>
          <w:iCs/>
          <w:lang w:val="en-GB"/>
        </w:rPr>
        <w:t>inter alia</w:t>
      </w:r>
      <w:r w:rsidR="006B50BE" w:rsidRPr="00EC24F7">
        <w:rPr>
          <w:rFonts w:cs="Arial"/>
          <w:lang w:val="en-GB"/>
        </w:rPr>
        <w:t>, provided that</w:t>
      </w:r>
      <w:r w:rsidR="00A14853" w:rsidRPr="00EC24F7">
        <w:rPr>
          <w:rFonts w:cs="Arial"/>
          <w:lang w:val="en-GB"/>
        </w:rPr>
        <w:t xml:space="preserve"> </w:t>
      </w:r>
      <w:r w:rsidR="006B50BE" w:rsidRPr="00EC24F7">
        <w:rPr>
          <w:rFonts w:cs="Arial"/>
          <w:color w:val="000000"/>
          <w:lang w:val="en-GB"/>
        </w:rPr>
        <w:t xml:space="preserve">the </w:t>
      </w:r>
      <w:r w:rsidR="006B50BE" w:rsidRPr="00EC24F7">
        <w:rPr>
          <w:rFonts w:cs="Arial"/>
          <w:lang w:val="en-GB"/>
        </w:rPr>
        <w:t>City and the DHA had conducted a second survey of the unlawful occupiers on 5 December 2025 which NU and Transnet were entitled to observe</w:t>
      </w:r>
      <w:r w:rsidR="00A14853" w:rsidRPr="00EC24F7">
        <w:rPr>
          <w:rFonts w:cs="Arial"/>
          <w:lang w:val="en-GB"/>
        </w:rPr>
        <w:t>.</w:t>
      </w:r>
      <w:r w:rsidR="009B4B6F" w:rsidRPr="00EC24F7">
        <w:rPr>
          <w:rFonts w:cs="Arial"/>
          <w:lang w:val="en-GB"/>
        </w:rPr>
        <w:t xml:space="preserve">  </w:t>
      </w:r>
      <w:r w:rsidR="006B50BE" w:rsidRPr="00EC24F7">
        <w:rPr>
          <w:rFonts w:cs="Arial"/>
          <w:color w:val="000000"/>
          <w:lang w:val="en-GB"/>
        </w:rPr>
        <w:t>Regrettably, NU in their report to the Court delivered on 30 January 2026, again t</w:t>
      </w:r>
      <w:r w:rsidR="00746A5E" w:rsidRPr="00EC24F7">
        <w:rPr>
          <w:rFonts w:cs="Arial"/>
          <w:color w:val="000000"/>
          <w:lang w:val="en-GB"/>
        </w:rPr>
        <w:t>ook</w:t>
      </w:r>
      <w:r w:rsidR="006B50BE" w:rsidRPr="00EC24F7">
        <w:rPr>
          <w:rFonts w:cs="Arial"/>
          <w:color w:val="000000"/>
          <w:lang w:val="en-GB"/>
        </w:rPr>
        <w:t xml:space="preserve"> issue with the December survey on precisely the same </w:t>
      </w:r>
      <w:r w:rsidR="00E85408">
        <w:rPr>
          <w:rFonts w:cs="Arial"/>
          <w:color w:val="000000"/>
          <w:lang w:val="en-GB"/>
        </w:rPr>
        <w:t xml:space="preserve">inaccurate </w:t>
      </w:r>
      <w:r w:rsidR="006B50BE" w:rsidRPr="00EC24F7">
        <w:rPr>
          <w:rFonts w:cs="Arial"/>
          <w:color w:val="000000"/>
          <w:lang w:val="en-GB"/>
        </w:rPr>
        <w:t>grounds as those outlined in their 4 December 2025 letter</w:t>
      </w:r>
      <w:r w:rsidR="0057017B" w:rsidRPr="00EC24F7">
        <w:rPr>
          <w:rFonts w:cs="Arial"/>
          <w:color w:val="000000"/>
          <w:lang w:val="en-GB"/>
        </w:rPr>
        <w:t>.</w:t>
      </w:r>
    </w:p>
    <w:p w14:paraId="1B90392C" w14:textId="40009950" w:rsidR="009D118A" w:rsidRPr="00EC24F7" w:rsidRDefault="00E85408" w:rsidP="009D118A">
      <w:pPr>
        <w:pStyle w:val="ListParagraph"/>
        <w:numPr>
          <w:ilvl w:val="0"/>
          <w:numId w:val="2"/>
        </w:numPr>
        <w:spacing w:before="120" w:beforeAutospacing="0" w:after="360" w:afterAutospacing="0" w:line="480" w:lineRule="auto"/>
        <w:jc w:val="both"/>
        <w:rPr>
          <w:rFonts w:cs="Arial"/>
          <w:lang w:val="en-GB"/>
        </w:rPr>
      </w:pPr>
      <w:r>
        <w:rPr>
          <w:rFonts w:cs="Arial"/>
          <w:color w:val="000000"/>
          <w:lang w:val="en-GB"/>
        </w:rPr>
        <w:t>In light of these facts</w:t>
      </w:r>
      <w:r w:rsidR="00957EC9" w:rsidRPr="00EC24F7">
        <w:rPr>
          <w:rFonts w:cs="Arial"/>
          <w:color w:val="000000"/>
          <w:lang w:val="en-GB"/>
        </w:rPr>
        <w:t xml:space="preserve">, the City’s attempts at meaningful engagement have been reasonable and appropriate in circumstances where the unlawful occupiers, </w:t>
      </w:r>
      <w:r w:rsidR="00957EC9" w:rsidRPr="00EC24F7">
        <w:rPr>
          <w:rFonts w:cs="Arial"/>
          <w:color w:val="000000"/>
          <w:lang w:val="en-GB"/>
        </w:rPr>
        <w:lastRenderedPageBreak/>
        <w:t>through their legal representatives have simply failed and/or refused to</w:t>
      </w:r>
      <w:r w:rsidR="004F6BBD" w:rsidRPr="00EC24F7">
        <w:rPr>
          <w:rFonts w:cs="Arial"/>
          <w:color w:val="000000"/>
          <w:lang w:val="en-GB"/>
        </w:rPr>
        <w:t xml:space="preserve"> co-operate with the City’s attempts to engage with them.</w:t>
      </w:r>
    </w:p>
    <w:p w14:paraId="7F91AA04" w14:textId="77777777" w:rsidR="004B3AD8" w:rsidRPr="00EC24F7" w:rsidRDefault="00591FB9" w:rsidP="004B3AD8">
      <w:pPr>
        <w:pStyle w:val="ListParagraph"/>
        <w:numPr>
          <w:ilvl w:val="0"/>
          <w:numId w:val="2"/>
        </w:numPr>
        <w:spacing w:before="120" w:beforeAutospacing="0" w:after="360" w:afterAutospacing="0" w:line="480" w:lineRule="auto"/>
        <w:jc w:val="both"/>
        <w:rPr>
          <w:rFonts w:cs="Arial"/>
          <w:lang w:val="en-GB"/>
        </w:rPr>
      </w:pPr>
      <w:r w:rsidRPr="00EC24F7">
        <w:rPr>
          <w:rFonts w:cs="Arial"/>
          <w:color w:val="000000"/>
          <w:lang w:val="en-GB"/>
        </w:rPr>
        <w:t>The Courts have repeatedly made it clear that t</w:t>
      </w:r>
      <w:r w:rsidRPr="00EC24F7">
        <w:rPr>
          <w:rFonts w:cs="Arial"/>
        </w:rPr>
        <w:t xml:space="preserve">here is a duty upon the respondents </w:t>
      </w:r>
      <w:r w:rsidRPr="00EC24F7">
        <w:rPr>
          <w:rFonts w:cs="Arial"/>
        </w:rPr>
        <w:t xml:space="preserve">in eviction proceedings </w:t>
      </w:r>
      <w:r w:rsidRPr="00EC24F7">
        <w:rPr>
          <w:rFonts w:cs="Arial"/>
        </w:rPr>
        <w:t xml:space="preserve">to place all their relevant circumstances before the </w:t>
      </w:r>
      <w:r w:rsidRPr="00EC24F7">
        <w:rPr>
          <w:rFonts w:cs="Arial"/>
        </w:rPr>
        <w:t>C</w:t>
      </w:r>
      <w:r w:rsidRPr="00EC24F7">
        <w:rPr>
          <w:rFonts w:cs="Arial"/>
        </w:rPr>
        <w:t xml:space="preserve">ourt.  </w:t>
      </w:r>
    </w:p>
    <w:p w14:paraId="29514669" w14:textId="75775ADA" w:rsidR="004B3AD8" w:rsidRPr="00EC24F7" w:rsidRDefault="0030735F" w:rsidP="004B3AD8">
      <w:pPr>
        <w:pStyle w:val="ListParagraph"/>
        <w:numPr>
          <w:ilvl w:val="0"/>
          <w:numId w:val="2"/>
        </w:numPr>
        <w:spacing w:before="120" w:beforeAutospacing="0" w:after="360" w:afterAutospacing="0" w:line="480" w:lineRule="auto"/>
        <w:jc w:val="both"/>
        <w:rPr>
          <w:rFonts w:cs="Arial"/>
          <w:lang w:val="en-GB"/>
        </w:rPr>
      </w:pPr>
      <w:r w:rsidRPr="00EC24F7">
        <w:rPr>
          <w:rFonts w:cs="Arial"/>
          <w:color w:val="000000" w:themeColor="text1"/>
        </w:rPr>
        <w:t xml:space="preserve">As the Constitutional Court has affirmed in </w:t>
      </w:r>
      <w:r w:rsidR="00630869" w:rsidRPr="00630869">
        <w:rPr>
          <w:rFonts w:cs="Arial"/>
          <w:i/>
          <w:iCs/>
          <w:color w:val="000000" w:themeColor="text1"/>
        </w:rPr>
        <w:t>Occupiers of Erven 87 and 88 Berea</w:t>
      </w:r>
      <w:r w:rsidRPr="00EC24F7">
        <w:rPr>
          <w:rFonts w:cs="Arial"/>
          <w:color w:val="000000" w:themeColor="text1"/>
        </w:rPr>
        <w:t xml:space="preserve"> the obligation to provide the information relevant to the justice and equity enquiry rests first and foremost on the parties to the proceedings.</w:t>
      </w:r>
      <w:r w:rsidRPr="00EC24F7">
        <w:rPr>
          <w:rStyle w:val="FootnoteReference"/>
          <w:rFonts w:cs="Arial"/>
          <w:color w:val="000000" w:themeColor="text1"/>
        </w:rPr>
        <w:footnoteReference w:id="103"/>
      </w:r>
      <w:r w:rsidRPr="00EC24F7">
        <w:rPr>
          <w:rFonts w:cs="Arial"/>
          <w:color w:val="000000" w:themeColor="text1"/>
        </w:rPr>
        <w:t xml:space="preserve"> </w:t>
      </w:r>
      <w:r w:rsidR="004B3AD8" w:rsidRPr="00EC24F7">
        <w:rPr>
          <w:rFonts w:cs="Arial"/>
          <w:color w:val="000000" w:themeColor="text1"/>
        </w:rPr>
        <w:t xml:space="preserve"> </w:t>
      </w:r>
      <w:r w:rsidR="00972AAC" w:rsidRPr="00EC24F7">
        <w:rPr>
          <w:rFonts w:cs="Arial"/>
          <w:color w:val="000000" w:themeColor="text1"/>
        </w:rPr>
        <w:t>Transnet</w:t>
      </w:r>
      <w:r w:rsidR="00E15696">
        <w:rPr>
          <w:rFonts w:cs="Arial"/>
          <w:color w:val="000000" w:themeColor="text1"/>
        </w:rPr>
        <w:t>,</w:t>
      </w:r>
      <w:r w:rsidR="00972AAC" w:rsidRPr="00EC24F7">
        <w:rPr>
          <w:rFonts w:cs="Arial"/>
          <w:color w:val="000000" w:themeColor="text1"/>
        </w:rPr>
        <w:t xml:space="preserve"> as the applicant seeking an eviction order in terms of PIE</w:t>
      </w:r>
      <w:r w:rsidR="00E15696">
        <w:rPr>
          <w:rFonts w:cs="Arial"/>
          <w:color w:val="000000" w:themeColor="text1"/>
        </w:rPr>
        <w:t>,</w:t>
      </w:r>
      <w:r w:rsidR="00972AAC" w:rsidRPr="00EC24F7">
        <w:rPr>
          <w:rFonts w:cs="Arial"/>
          <w:color w:val="000000" w:themeColor="text1"/>
        </w:rPr>
        <w:t xml:space="preserve"> bears an onus to place sufficient information before the Court to justify any eviction order that it may seek,</w:t>
      </w:r>
      <w:r w:rsidR="00972AAC" w:rsidRPr="00EC24F7">
        <w:rPr>
          <w:rStyle w:val="FootnoteReference"/>
          <w:rFonts w:cs="Arial"/>
          <w:color w:val="000000" w:themeColor="text1"/>
        </w:rPr>
        <w:footnoteReference w:id="104"/>
      </w:r>
      <w:r w:rsidR="00972AAC" w:rsidRPr="00EC24F7">
        <w:rPr>
          <w:rFonts w:cs="Arial"/>
          <w:color w:val="000000" w:themeColor="text1"/>
        </w:rPr>
        <w:t xml:space="preserve"> </w:t>
      </w:r>
      <w:r w:rsidR="00C5090D" w:rsidRPr="00EC24F7">
        <w:rPr>
          <w:rFonts w:cs="Arial"/>
          <w:color w:val="000000" w:themeColor="text1"/>
        </w:rPr>
        <w:t xml:space="preserve">but </w:t>
      </w:r>
      <w:r w:rsidR="00C5090D" w:rsidRPr="00EC24F7">
        <w:rPr>
          <w:rFonts w:cs="Arial"/>
          <w:lang w:val="en-US"/>
        </w:rPr>
        <w:t>t</w:t>
      </w:r>
      <w:r w:rsidR="004B3AD8" w:rsidRPr="00EC24F7">
        <w:rPr>
          <w:rFonts w:cs="Arial"/>
          <w:lang w:val="en-US"/>
        </w:rPr>
        <w:t>he S</w:t>
      </w:r>
      <w:r w:rsidR="004B3AD8" w:rsidRPr="00EC24F7">
        <w:rPr>
          <w:rFonts w:cs="Arial"/>
          <w:lang w:val="en-US"/>
        </w:rPr>
        <w:t xml:space="preserve">upreme Court of Appeal </w:t>
      </w:r>
      <w:r w:rsidR="004B3AD8" w:rsidRPr="00EC24F7">
        <w:rPr>
          <w:rFonts w:cs="Arial"/>
          <w:lang w:val="en-US"/>
        </w:rPr>
        <w:t xml:space="preserve">qualified the onus by stating that applicants for evictions </w:t>
      </w:r>
      <w:r w:rsidR="004B3AD8" w:rsidRPr="00EC24F7">
        <w:rPr>
          <w:rFonts w:cs="Arial"/>
          <w:bCs/>
          <w:lang w:val="en-US"/>
        </w:rPr>
        <w:t>are obviously not required to go beyond what they know or what is reasonably ascertainable.</w:t>
      </w:r>
      <w:r w:rsidR="004B3AD8" w:rsidRPr="00EC24F7">
        <w:rPr>
          <w:rStyle w:val="FootnoteReference"/>
          <w:rFonts w:cs="Arial"/>
          <w:bCs/>
          <w:lang w:val="en-US"/>
        </w:rPr>
        <w:footnoteReference w:id="105"/>
      </w:r>
    </w:p>
    <w:p w14:paraId="439EA144" w14:textId="4DE7BBD3" w:rsidR="0084086D" w:rsidRPr="00EC24F7" w:rsidRDefault="005A5CBD" w:rsidP="00A52B83">
      <w:pPr>
        <w:pStyle w:val="ListParagraph"/>
        <w:numPr>
          <w:ilvl w:val="0"/>
          <w:numId w:val="2"/>
        </w:numPr>
        <w:spacing w:before="360" w:beforeAutospacing="0" w:after="360" w:afterAutospacing="0" w:line="480" w:lineRule="auto"/>
        <w:jc w:val="both"/>
        <w:rPr>
          <w:rFonts w:cs="Arial"/>
          <w:color w:val="000000" w:themeColor="text1"/>
        </w:rPr>
      </w:pPr>
      <w:r w:rsidRPr="00EC24F7">
        <w:rPr>
          <w:rFonts w:cs="Arial"/>
          <w:color w:val="000000" w:themeColor="text1"/>
        </w:rPr>
        <w:t>T</w:t>
      </w:r>
      <w:r w:rsidR="00C5090D" w:rsidRPr="00EC24F7">
        <w:rPr>
          <w:rFonts w:cs="Arial"/>
          <w:color w:val="000000" w:themeColor="text1"/>
        </w:rPr>
        <w:t xml:space="preserve">here is also an obligation on the unlawful occupiers to place before the Court information sufficient to enable the Court to discharge its duty to enquire into all the relevant circumstances for the purposes of the enquiry required by PIE.  </w:t>
      </w:r>
      <w:r w:rsidR="0084086D" w:rsidRPr="00EC24F7">
        <w:rPr>
          <w:rFonts w:cs="Arial"/>
          <w:color w:val="000000" w:themeColor="text1"/>
        </w:rPr>
        <w:t xml:space="preserve">As the </w:t>
      </w:r>
      <w:r w:rsidR="0084086D" w:rsidRPr="00EC24F7">
        <w:rPr>
          <w:rFonts w:cs="Arial"/>
          <w:lang w:val="en-US"/>
        </w:rPr>
        <w:t>Supreme Court of Appeal</w:t>
      </w:r>
      <w:r w:rsidR="0084086D" w:rsidRPr="00EC24F7">
        <w:rPr>
          <w:rFonts w:cs="Arial"/>
          <w:lang w:val="en-US"/>
        </w:rPr>
        <w:t xml:space="preserve"> has stated in </w:t>
      </w:r>
      <w:r w:rsidR="00EA355A" w:rsidRPr="00EC24F7">
        <w:rPr>
          <w:rFonts w:cs="Arial"/>
          <w:bCs/>
          <w:i/>
          <w:iCs/>
          <w:lang w:val="en-US"/>
        </w:rPr>
        <w:t>Ndlovu v Ngcobo; Bekker and Bosch v Jika</w:t>
      </w:r>
      <w:r w:rsidR="00AF77BF" w:rsidRPr="00EC24F7">
        <w:rPr>
          <w:rFonts w:cs="Arial"/>
          <w:bCs/>
          <w:i/>
          <w:iCs/>
          <w:lang w:val="en-US"/>
        </w:rPr>
        <w:t>,</w:t>
      </w:r>
      <w:r w:rsidR="00981618" w:rsidRPr="00EC24F7">
        <w:rPr>
          <w:rStyle w:val="FootnoteReference"/>
          <w:rFonts w:cs="Arial"/>
          <w:bCs/>
          <w:iCs/>
          <w:lang w:val="en-US"/>
        </w:rPr>
        <w:footnoteReference w:id="106"/>
      </w:r>
      <w:r w:rsidR="009377CC" w:rsidRPr="00EC24F7">
        <w:rPr>
          <w:rFonts w:cs="Arial"/>
          <w:bCs/>
          <w:i/>
          <w:iCs/>
          <w:lang w:val="en-US"/>
        </w:rPr>
        <w:t xml:space="preserve"> </w:t>
      </w:r>
      <w:r w:rsidR="00A65B40" w:rsidRPr="00EC24F7">
        <w:rPr>
          <w:rFonts w:cs="Arial"/>
          <w:bCs/>
          <w:lang w:val="en-US"/>
        </w:rPr>
        <w:t>provided the procedural requirement are met</w:t>
      </w:r>
      <w:r w:rsidR="008F3850" w:rsidRPr="00EC24F7">
        <w:rPr>
          <w:rFonts w:cs="Arial"/>
          <w:bCs/>
          <w:lang w:val="en-US"/>
        </w:rPr>
        <w:t>,</w:t>
      </w:r>
      <w:r w:rsidR="00A65B40" w:rsidRPr="00EC24F7">
        <w:rPr>
          <w:rFonts w:cs="Arial"/>
          <w:bCs/>
          <w:lang w:val="en-US"/>
        </w:rPr>
        <w:t xml:space="preserve"> </w:t>
      </w:r>
      <w:r w:rsidR="00DC2DA1" w:rsidRPr="00EC24F7">
        <w:rPr>
          <w:rFonts w:cs="Arial"/>
          <w:bCs/>
          <w:lang w:val="en-US"/>
        </w:rPr>
        <w:t xml:space="preserve">once an owner </w:t>
      </w:r>
      <w:r w:rsidR="00DC2DA1" w:rsidRPr="00EC24F7">
        <w:rPr>
          <w:rFonts w:cs="Arial"/>
          <w:bCs/>
        </w:rPr>
        <w:t>establish</w:t>
      </w:r>
      <w:r w:rsidR="008F3850" w:rsidRPr="00EC24F7">
        <w:rPr>
          <w:rFonts w:cs="Arial"/>
          <w:bCs/>
        </w:rPr>
        <w:t>es</w:t>
      </w:r>
      <w:r w:rsidR="00DC2DA1" w:rsidRPr="00EC24F7">
        <w:rPr>
          <w:rFonts w:cs="Arial"/>
          <w:bCs/>
        </w:rPr>
        <w:t xml:space="preserve"> by way of evidence that it</w:t>
      </w:r>
      <w:r w:rsidR="00DC2DA1" w:rsidRPr="00EC24F7">
        <w:rPr>
          <w:rFonts w:cs="Arial"/>
          <w:bCs/>
        </w:rPr>
        <w:t xml:space="preserve"> is the owner of the property in question and that the respondent is in unlawful occupation</w:t>
      </w:r>
      <w:r w:rsidR="00A23A8D" w:rsidRPr="00EC24F7">
        <w:rPr>
          <w:rFonts w:cs="Arial"/>
          <w:bCs/>
        </w:rPr>
        <w:t xml:space="preserve">, </w:t>
      </w:r>
      <w:r w:rsidR="00A23A8D" w:rsidRPr="00EC24F7">
        <w:rPr>
          <w:rFonts w:cs="Arial"/>
          <w:bCs/>
          <w:iCs/>
          <w:lang w:val="en-US"/>
        </w:rPr>
        <w:t>the owner in principle will be entitled to an order for eviction</w:t>
      </w:r>
      <w:r w:rsidR="007D4738" w:rsidRPr="00EC24F7">
        <w:rPr>
          <w:rFonts w:cs="Arial"/>
          <w:bCs/>
          <w:iCs/>
          <w:lang w:val="en-US"/>
        </w:rPr>
        <w:t>.</w:t>
      </w:r>
      <w:r w:rsidR="00DC2DA1" w:rsidRPr="00EC24F7">
        <w:rPr>
          <w:rStyle w:val="FootnoteReference"/>
          <w:rFonts w:cs="Arial"/>
          <w:bCs/>
        </w:rPr>
        <w:footnoteReference w:id="107"/>
      </w:r>
      <w:r w:rsidR="007D4738" w:rsidRPr="00EC24F7">
        <w:rPr>
          <w:rFonts w:cs="Arial"/>
          <w:bCs/>
          <w:iCs/>
          <w:lang w:val="en-US"/>
        </w:rPr>
        <w:t xml:space="preserve">  </w:t>
      </w:r>
      <w:r w:rsidR="007D4738" w:rsidRPr="00EC24F7">
        <w:rPr>
          <w:rFonts w:cs="Arial"/>
          <w:bCs/>
        </w:rPr>
        <w:t xml:space="preserve">It is then up to the occupier to disclose to the Court </w:t>
      </w:r>
      <w:r w:rsidR="007D4738" w:rsidRPr="00877A8A">
        <w:rPr>
          <w:rFonts w:cs="Arial"/>
          <w:bCs/>
          <w:i/>
          <w:iCs/>
        </w:rPr>
        <w:lastRenderedPageBreak/>
        <w:t>‘relevant circumstances’</w:t>
      </w:r>
      <w:r w:rsidR="007D4738" w:rsidRPr="00EC24F7">
        <w:rPr>
          <w:rFonts w:cs="Arial"/>
          <w:bCs/>
        </w:rPr>
        <w:t xml:space="preserve"> to show why the owner should not be granted an </w:t>
      </w:r>
      <w:r w:rsidR="00877A8A">
        <w:rPr>
          <w:rFonts w:cs="Arial"/>
          <w:bCs/>
        </w:rPr>
        <w:t xml:space="preserve">eviction </w:t>
      </w:r>
      <w:r w:rsidR="007D4738" w:rsidRPr="00EC24F7">
        <w:rPr>
          <w:rFonts w:cs="Arial"/>
          <w:bCs/>
        </w:rPr>
        <w:t>order</w:t>
      </w:r>
      <w:r w:rsidR="007D4738" w:rsidRPr="00EC24F7">
        <w:rPr>
          <w:rFonts w:cs="Arial"/>
          <w:bCs/>
        </w:rPr>
        <w:t>.</w:t>
      </w:r>
      <w:r w:rsidR="007D4738" w:rsidRPr="00EC24F7">
        <w:rPr>
          <w:rStyle w:val="FootnoteReference"/>
          <w:rFonts w:cs="Arial"/>
          <w:bCs/>
        </w:rPr>
        <w:footnoteReference w:id="108"/>
      </w:r>
      <w:r w:rsidR="00A52B83" w:rsidRPr="00EC24F7">
        <w:rPr>
          <w:rFonts w:cs="Arial"/>
          <w:bCs/>
        </w:rPr>
        <w:t xml:space="preserve">  Such </w:t>
      </w:r>
      <w:r w:rsidR="00A52B83" w:rsidRPr="00EC24F7">
        <w:rPr>
          <w:rFonts w:cs="Arial"/>
          <w:bCs/>
          <w:iCs/>
          <w:lang w:val="en-US"/>
        </w:rPr>
        <w:t>r</w:t>
      </w:r>
      <w:r w:rsidR="0084086D" w:rsidRPr="00EC24F7">
        <w:rPr>
          <w:rFonts w:cs="Arial"/>
          <w:bCs/>
          <w:iCs/>
          <w:lang w:val="en-US"/>
        </w:rPr>
        <w:t>elevant circumstances are nearly without fail within the exclusive knowledge of the occupier.</w:t>
      </w:r>
      <w:r w:rsidR="0084086D" w:rsidRPr="00EC24F7">
        <w:rPr>
          <w:rStyle w:val="FootnoteReference"/>
          <w:rFonts w:cs="Arial"/>
          <w:bCs/>
          <w:iCs/>
          <w:lang w:val="en-US"/>
        </w:rPr>
        <w:footnoteReference w:id="109"/>
      </w:r>
    </w:p>
    <w:p w14:paraId="1F3C7ACB" w14:textId="77777777" w:rsidR="002521DC" w:rsidRPr="00EC24F7" w:rsidRDefault="002521DC" w:rsidP="002521DC">
      <w:pPr>
        <w:pStyle w:val="ListParagraph"/>
        <w:keepNext/>
        <w:keepLines/>
        <w:numPr>
          <w:ilvl w:val="0"/>
          <w:numId w:val="2"/>
        </w:numPr>
        <w:spacing w:before="360" w:beforeAutospacing="0" w:after="360" w:afterAutospacing="0" w:line="480" w:lineRule="auto"/>
        <w:jc w:val="both"/>
        <w:rPr>
          <w:rFonts w:cs="Arial"/>
        </w:rPr>
      </w:pPr>
      <w:r w:rsidRPr="00EC24F7">
        <w:rPr>
          <w:rFonts w:cs="Arial"/>
          <w:lang w:val="en-US"/>
        </w:rPr>
        <w:t xml:space="preserve">The following extract from </w:t>
      </w:r>
      <w:r w:rsidRPr="00EC24F7">
        <w:rPr>
          <w:rFonts w:cs="Arial"/>
          <w:bCs/>
          <w:i/>
          <w:iCs/>
          <w:lang w:val="en-US"/>
        </w:rPr>
        <w:t>Port Elizabeth Municipality v Peoples Dialogue on Land and Shelter and Others</w:t>
      </w:r>
      <w:r w:rsidRPr="00EC24F7">
        <w:rPr>
          <w:rStyle w:val="FootnoteReference"/>
          <w:rFonts w:cs="Arial"/>
          <w:bCs/>
          <w:iCs/>
          <w:lang w:val="en-US"/>
        </w:rPr>
        <w:footnoteReference w:id="110"/>
      </w:r>
      <w:r w:rsidRPr="00EC24F7">
        <w:rPr>
          <w:rFonts w:cs="Arial"/>
          <w:position w:val="16"/>
          <w:lang w:val="en-US"/>
        </w:rPr>
        <w:t xml:space="preserve"> </w:t>
      </w:r>
      <w:r w:rsidRPr="00EC24F7">
        <w:rPr>
          <w:rFonts w:cs="Arial"/>
          <w:lang w:val="en-US"/>
        </w:rPr>
        <w:t xml:space="preserve">is also relevant: </w:t>
      </w:r>
    </w:p>
    <w:p w14:paraId="26C17667" w14:textId="5F1349B9" w:rsidR="00652658" w:rsidRPr="00EC24F7" w:rsidRDefault="005B67E5" w:rsidP="007D7AE0">
      <w:pPr>
        <w:pStyle w:val="ListParagraph"/>
        <w:spacing w:before="360" w:after="360" w:line="360" w:lineRule="auto"/>
        <w:ind w:left="1134"/>
        <w:jc w:val="both"/>
        <w:rPr>
          <w:rFonts w:cs="Arial"/>
          <w:bCs/>
          <w:iCs/>
          <w:lang w:val="en-US"/>
        </w:rPr>
      </w:pPr>
      <w:r w:rsidRPr="007D7AE0">
        <w:rPr>
          <w:rFonts w:cs="Arial"/>
          <w:i/>
          <w:sz w:val="22"/>
          <w:szCs w:val="22"/>
          <w:lang w:val="en-US"/>
        </w:rPr>
        <w:t>‘</w:t>
      </w:r>
      <w:r w:rsidR="002521DC" w:rsidRPr="007D7AE0">
        <w:rPr>
          <w:rFonts w:cs="Arial"/>
          <w:bCs/>
          <w:i/>
          <w:sz w:val="22"/>
          <w:szCs w:val="22"/>
          <w:lang w:val="en-US"/>
        </w:rPr>
        <w:t xml:space="preserve">Under these circumstances therefore </w:t>
      </w:r>
      <w:r w:rsidR="002521DC" w:rsidRPr="007D7AE0">
        <w:rPr>
          <w:rFonts w:cs="Arial"/>
          <w:bCs/>
          <w:i/>
          <w:sz w:val="22"/>
          <w:szCs w:val="22"/>
          <w:u w:val="single"/>
          <w:lang w:val="en-US"/>
        </w:rPr>
        <w:t>an unlawful occupier, in order to be deserving of the assistance of the court, must make full disclosure of all the relevant facts in order to enable a court of law to exercise its discretion properly</w:t>
      </w:r>
      <w:r w:rsidR="002521DC" w:rsidRPr="007D7AE0">
        <w:rPr>
          <w:rFonts w:cs="Arial"/>
          <w:bCs/>
          <w:i/>
          <w:sz w:val="22"/>
          <w:szCs w:val="22"/>
          <w:lang w:val="en-US"/>
        </w:rPr>
        <w:t xml:space="preserve">. By the very nature of things, some of these facts would be within the peculiar knowledge of the unlawful occupiers. ... </w:t>
      </w:r>
      <w:r w:rsidR="002521DC" w:rsidRPr="007D7AE0">
        <w:rPr>
          <w:rFonts w:cs="Arial"/>
          <w:bCs/>
          <w:i/>
          <w:sz w:val="22"/>
          <w:szCs w:val="22"/>
          <w:u w:val="single"/>
          <w:lang w:val="en-US"/>
        </w:rPr>
        <w:t>An unlawful occupier</w:t>
      </w:r>
      <w:r w:rsidR="002521DC" w:rsidRPr="007D7AE0">
        <w:rPr>
          <w:rFonts w:cs="Arial"/>
          <w:bCs/>
          <w:i/>
          <w:sz w:val="22"/>
          <w:szCs w:val="22"/>
          <w:lang w:val="en-US"/>
        </w:rPr>
        <w:t xml:space="preserve"> who desires to be afforded the extra protection which is given to a person who has been in occupation for a period in excess of six months </w:t>
      </w:r>
      <w:r w:rsidR="002521DC" w:rsidRPr="007D7AE0">
        <w:rPr>
          <w:rFonts w:cs="Arial"/>
          <w:bCs/>
          <w:i/>
          <w:sz w:val="22"/>
          <w:szCs w:val="22"/>
          <w:u w:val="single"/>
          <w:lang w:val="en-US"/>
        </w:rPr>
        <w:t>must take the court into its confidence and make full disclosure in this regard</w:t>
      </w:r>
      <w:r w:rsidR="002521DC" w:rsidRPr="007D7AE0">
        <w:rPr>
          <w:rFonts w:cs="Arial"/>
          <w:bCs/>
          <w:i/>
          <w:sz w:val="22"/>
          <w:szCs w:val="22"/>
          <w:lang w:val="en-US"/>
        </w:rPr>
        <w:t>. It is simply not sufficient for respondents to make bold statements regarding the period of occupation</w:t>
      </w:r>
      <w:r w:rsidR="002521DC" w:rsidRPr="007D7AE0">
        <w:rPr>
          <w:rFonts w:cs="Arial"/>
          <w:i/>
          <w:sz w:val="22"/>
          <w:szCs w:val="22"/>
          <w:lang w:val="en-US"/>
        </w:rPr>
        <w:t>.</w:t>
      </w:r>
      <w:r w:rsidRPr="007D7AE0">
        <w:rPr>
          <w:rFonts w:cs="Arial"/>
          <w:bCs/>
          <w:i/>
          <w:sz w:val="22"/>
          <w:szCs w:val="22"/>
          <w:lang w:val="en-US"/>
        </w:rPr>
        <w:t>’</w:t>
      </w:r>
      <w:r w:rsidR="002521DC" w:rsidRPr="00EC24F7">
        <w:rPr>
          <w:rFonts w:cs="Arial"/>
          <w:bCs/>
          <w:iCs/>
          <w:lang w:val="en-US"/>
        </w:rPr>
        <w:t xml:space="preserve"> (emphasis added)</w:t>
      </w:r>
    </w:p>
    <w:p w14:paraId="0339158A" w14:textId="21A75230" w:rsidR="00765FAA" w:rsidRPr="00EC24F7" w:rsidRDefault="000A7A21" w:rsidP="006278E8">
      <w:pPr>
        <w:pStyle w:val="ListParagraph"/>
        <w:numPr>
          <w:ilvl w:val="0"/>
          <w:numId w:val="2"/>
        </w:numPr>
        <w:spacing w:before="120" w:beforeAutospacing="0" w:after="360" w:afterAutospacing="0" w:line="480" w:lineRule="auto"/>
        <w:jc w:val="both"/>
        <w:rPr>
          <w:rFonts w:cs="Arial"/>
          <w:lang w:val="en-GB"/>
        </w:rPr>
      </w:pPr>
      <w:r w:rsidRPr="00EC24F7">
        <w:rPr>
          <w:rFonts w:cs="Arial"/>
          <w:color w:val="000000"/>
          <w:lang w:val="en-GB"/>
        </w:rPr>
        <w:t>T</w:t>
      </w:r>
      <w:r w:rsidRPr="00EC24F7">
        <w:rPr>
          <w:rFonts w:cs="Arial"/>
          <w:color w:val="000000" w:themeColor="text1"/>
          <w:lang w:val="en-GB"/>
        </w:rPr>
        <w:t>here is</w:t>
      </w:r>
      <w:r w:rsidR="00652658" w:rsidRPr="00EC24F7">
        <w:rPr>
          <w:rFonts w:cs="Arial"/>
          <w:color w:val="000000" w:themeColor="text1"/>
          <w:lang w:val="en-GB"/>
        </w:rPr>
        <w:t xml:space="preserve"> also a positive obligation</w:t>
      </w:r>
      <w:r w:rsidRPr="00EC24F7">
        <w:rPr>
          <w:rFonts w:cs="Arial"/>
          <w:color w:val="000000" w:themeColor="text1"/>
          <w:lang w:val="en-GB"/>
        </w:rPr>
        <w:t xml:space="preserve"> on legal representatives in eviction proceedings as officers of the Court not only to advise their clients of the obligation to make full disclosure of all relevant personal circumstances but to actively seek to assist their clients to present the necessary information,</w:t>
      </w:r>
      <w:r w:rsidR="00CE27DC" w:rsidRPr="00EC24F7">
        <w:rPr>
          <w:rStyle w:val="FootnoteReference"/>
          <w:rFonts w:cs="Arial"/>
          <w:color w:val="000000" w:themeColor="text1"/>
          <w:lang w:val="en-GB"/>
        </w:rPr>
        <w:footnoteReference w:id="111"/>
      </w:r>
      <w:r w:rsidRPr="00EC24F7">
        <w:rPr>
          <w:rFonts w:cs="Arial"/>
          <w:color w:val="000000" w:themeColor="text1"/>
          <w:lang w:val="en-GB"/>
        </w:rPr>
        <w:t xml:space="preserve"> and as officers of the </w:t>
      </w:r>
      <w:r w:rsidR="00A84930">
        <w:rPr>
          <w:rFonts w:cs="Arial"/>
          <w:color w:val="000000" w:themeColor="text1"/>
          <w:lang w:val="en-GB"/>
        </w:rPr>
        <w:t>C</w:t>
      </w:r>
      <w:r w:rsidRPr="00EC24F7">
        <w:rPr>
          <w:rFonts w:cs="Arial"/>
          <w:color w:val="000000" w:themeColor="text1"/>
          <w:lang w:val="en-GB"/>
        </w:rPr>
        <w:t xml:space="preserve">ourt, attorneys and advocates must furnish the </w:t>
      </w:r>
      <w:r w:rsidR="00A84930">
        <w:rPr>
          <w:rFonts w:cs="Arial"/>
          <w:color w:val="000000" w:themeColor="text1"/>
          <w:lang w:val="en-GB"/>
        </w:rPr>
        <w:t>C</w:t>
      </w:r>
      <w:r w:rsidRPr="00EC24F7">
        <w:rPr>
          <w:rFonts w:cs="Arial"/>
          <w:color w:val="000000" w:themeColor="text1"/>
          <w:lang w:val="en-GB"/>
        </w:rPr>
        <w:t xml:space="preserve">ourt with all relevant information that is in their possession in order for the </w:t>
      </w:r>
      <w:r w:rsidR="00A84930">
        <w:rPr>
          <w:rFonts w:cs="Arial"/>
          <w:color w:val="000000" w:themeColor="text1"/>
          <w:lang w:val="en-GB"/>
        </w:rPr>
        <w:t>C</w:t>
      </w:r>
      <w:r w:rsidRPr="00EC24F7">
        <w:rPr>
          <w:rFonts w:cs="Arial"/>
          <w:color w:val="000000" w:themeColor="text1"/>
          <w:lang w:val="en-GB"/>
        </w:rPr>
        <w:t>ourt to properly interrogate the justice and equity of ordering an eviction.</w:t>
      </w:r>
      <w:r w:rsidRPr="00EC24F7">
        <w:rPr>
          <w:rStyle w:val="FootnoteReference"/>
          <w:rFonts w:cs="Arial"/>
          <w:color w:val="000000" w:themeColor="text1"/>
          <w:lang w:val="en-GB"/>
        </w:rPr>
        <w:footnoteReference w:id="112"/>
      </w:r>
      <w:r w:rsidR="00AB02E9" w:rsidRPr="00EC24F7">
        <w:rPr>
          <w:rFonts w:cs="Arial"/>
          <w:color w:val="000000" w:themeColor="text1"/>
          <w:lang w:val="en-GB"/>
        </w:rPr>
        <w:t xml:space="preserve">  </w:t>
      </w:r>
      <w:r w:rsidR="00765FAA" w:rsidRPr="00EC24F7">
        <w:rPr>
          <w:rFonts w:cs="Arial"/>
          <w:color w:val="000000" w:themeColor="text1"/>
        </w:rPr>
        <w:t xml:space="preserve">Legal practitioners representing respondents in eviction applications cannot as officers of the </w:t>
      </w:r>
      <w:r w:rsidR="00A84930">
        <w:rPr>
          <w:rFonts w:cs="Arial"/>
          <w:color w:val="000000" w:themeColor="text1"/>
        </w:rPr>
        <w:t>C</w:t>
      </w:r>
      <w:r w:rsidR="00765FAA" w:rsidRPr="00EC24F7">
        <w:rPr>
          <w:rFonts w:cs="Arial"/>
          <w:color w:val="000000" w:themeColor="text1"/>
        </w:rPr>
        <w:t xml:space="preserve">ourt withhold relevant information </w:t>
      </w:r>
      <w:r w:rsidR="00765FAA" w:rsidRPr="00EC24F7">
        <w:rPr>
          <w:rFonts w:cs="Arial"/>
          <w:color w:val="000000" w:themeColor="text1"/>
        </w:rPr>
        <w:lastRenderedPageBreak/>
        <w:t xml:space="preserve">in order to benefit their clients by causing the eviction proceedings to be delayed because the </w:t>
      </w:r>
      <w:r w:rsidR="00765FAA" w:rsidRPr="00EC24F7">
        <w:rPr>
          <w:rFonts w:cs="Arial"/>
          <w:color w:val="000000" w:themeColor="text1"/>
        </w:rPr>
        <w:t>C</w:t>
      </w:r>
      <w:r w:rsidR="00765FAA" w:rsidRPr="00EC24F7">
        <w:rPr>
          <w:rFonts w:cs="Arial"/>
          <w:color w:val="000000" w:themeColor="text1"/>
        </w:rPr>
        <w:t>ourt does not have sufficient information before it.</w:t>
      </w:r>
      <w:r w:rsidR="00765FAA" w:rsidRPr="00EC24F7">
        <w:rPr>
          <w:rStyle w:val="FootnoteReference"/>
          <w:rFonts w:cs="Arial"/>
          <w:color w:val="000000" w:themeColor="text1"/>
        </w:rPr>
        <w:footnoteReference w:id="113"/>
      </w:r>
    </w:p>
    <w:p w14:paraId="5D94112E" w14:textId="2E80CECE" w:rsidR="000A7A21" w:rsidRPr="00EC24F7" w:rsidRDefault="00AB02E9" w:rsidP="00405419">
      <w:pPr>
        <w:pStyle w:val="ListParagraph"/>
        <w:keepNext/>
        <w:keepLines/>
        <w:numPr>
          <w:ilvl w:val="0"/>
          <w:numId w:val="2"/>
        </w:numPr>
        <w:spacing w:before="120" w:beforeAutospacing="0" w:after="360" w:afterAutospacing="0" w:line="480" w:lineRule="auto"/>
        <w:jc w:val="both"/>
        <w:rPr>
          <w:rFonts w:cs="Arial"/>
          <w:lang w:val="en-GB"/>
        </w:rPr>
      </w:pPr>
      <w:r w:rsidRPr="00EC24F7">
        <w:rPr>
          <w:rFonts w:cs="Arial"/>
          <w:color w:val="000000" w:themeColor="text1"/>
          <w:lang w:val="en-GB"/>
        </w:rPr>
        <w:t>R</w:t>
      </w:r>
      <w:r w:rsidR="000A7A21" w:rsidRPr="00EC24F7">
        <w:rPr>
          <w:rFonts w:cs="Arial"/>
          <w:color w:val="000000" w:themeColor="text1"/>
          <w:lang w:val="en-GB"/>
        </w:rPr>
        <w:t xml:space="preserve">ecently, </w:t>
      </w:r>
      <w:r w:rsidR="000A7A21" w:rsidRPr="00EC24F7">
        <w:rPr>
          <w:rFonts w:cs="Arial"/>
          <w:i/>
          <w:iCs/>
          <w:color w:val="000000" w:themeColor="text1"/>
          <w:lang w:val="en-GB"/>
        </w:rPr>
        <w:t xml:space="preserve">albeit </w:t>
      </w:r>
      <w:r w:rsidR="000A7A21" w:rsidRPr="00EC24F7">
        <w:rPr>
          <w:rFonts w:cs="Arial"/>
          <w:color w:val="000000" w:themeColor="text1"/>
          <w:lang w:val="en-GB"/>
        </w:rPr>
        <w:t xml:space="preserve">in the context of ESTA proceedings, the Supreme Court of Appeal in </w:t>
      </w:r>
      <w:r w:rsidR="000A7A21" w:rsidRPr="00EC24F7">
        <w:rPr>
          <w:rFonts w:cs="Arial"/>
          <w:i/>
          <w:iCs/>
          <w:color w:val="000000" w:themeColor="text1"/>
          <w:lang w:val="en-GB"/>
        </w:rPr>
        <w:t>Rowland and Others v Logo Carriers CC</w:t>
      </w:r>
      <w:r w:rsidR="000A7A21" w:rsidRPr="00EC24F7">
        <w:rPr>
          <w:rStyle w:val="FootnoteReference"/>
          <w:rFonts w:cs="Arial"/>
          <w:color w:val="000000" w:themeColor="text1"/>
          <w:lang w:val="en-GB"/>
        </w:rPr>
        <w:footnoteReference w:id="114"/>
      </w:r>
      <w:r w:rsidR="000A7A21" w:rsidRPr="00EC24F7">
        <w:rPr>
          <w:rFonts w:cs="Arial"/>
          <w:i/>
          <w:iCs/>
          <w:color w:val="000000" w:themeColor="text1"/>
          <w:lang w:val="en-GB"/>
        </w:rPr>
        <w:t xml:space="preserve"> </w:t>
      </w:r>
      <w:r w:rsidR="000A7A21" w:rsidRPr="00EC24F7">
        <w:rPr>
          <w:rFonts w:cs="Arial"/>
          <w:color w:val="000000" w:themeColor="text1"/>
          <w:lang w:val="en-GB"/>
        </w:rPr>
        <w:t xml:space="preserve">held: </w:t>
      </w:r>
    </w:p>
    <w:p w14:paraId="1463FC1D" w14:textId="77777777" w:rsidR="000A7A21" w:rsidRPr="00EC24F7" w:rsidRDefault="000A7A21" w:rsidP="003A5944">
      <w:pPr>
        <w:pStyle w:val="ListParagraph"/>
        <w:spacing w:before="120" w:beforeAutospacing="0" w:after="360" w:afterAutospacing="0" w:line="360" w:lineRule="auto"/>
        <w:ind w:left="1440"/>
        <w:jc w:val="both"/>
        <w:rPr>
          <w:rFonts w:cs="Arial"/>
          <w:lang w:val="en-GB"/>
        </w:rPr>
      </w:pPr>
      <w:r w:rsidRPr="003A5944">
        <w:rPr>
          <w:rFonts w:cs="Arial"/>
          <w:sz w:val="22"/>
          <w:szCs w:val="22"/>
        </w:rPr>
        <w:t>‘</w:t>
      </w:r>
      <w:r w:rsidRPr="003A5944">
        <w:rPr>
          <w:rFonts w:cs="Arial"/>
          <w:i/>
          <w:iCs/>
          <w:sz w:val="22"/>
          <w:szCs w:val="22"/>
        </w:rPr>
        <w:t>A legally represented party is properly before the court, and it is that party’s obligation, not the respondent’s, to place before he court all facts within knowledge that are material to the exercise of any discretion. One cannot participate in proceedings through legal representatives, decline to place relevant facts in evidence, and then, on appeal, seek to impugn a discretion on the ground that those facts were not considered. The appeal against the refusal of the strike-out application in respect of the fourth appellant is likewise dismissed.</w:t>
      </w:r>
      <w:r w:rsidRPr="00EC24F7">
        <w:rPr>
          <w:rFonts w:cs="Arial"/>
          <w:i/>
          <w:iCs/>
        </w:rPr>
        <w:t>’</w:t>
      </w:r>
    </w:p>
    <w:p w14:paraId="4F2C016B" w14:textId="0C6EBC07" w:rsidR="000A7A21" w:rsidRPr="00EC24F7" w:rsidRDefault="000A7A21" w:rsidP="006278E8">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color w:val="000000" w:themeColor="text1"/>
          <w:lang w:val="en-GB"/>
        </w:rPr>
        <w:t xml:space="preserve">Regrettably, NU </w:t>
      </w:r>
      <w:r w:rsidR="00971D53">
        <w:rPr>
          <w:rFonts w:cs="Arial"/>
          <w:color w:val="000000" w:themeColor="text1"/>
          <w:lang w:val="en-GB"/>
        </w:rPr>
        <w:t xml:space="preserve">appears to have </w:t>
      </w:r>
      <w:r w:rsidRPr="00EC24F7">
        <w:rPr>
          <w:rFonts w:cs="Arial"/>
          <w:color w:val="000000" w:themeColor="text1"/>
          <w:lang w:val="en-GB"/>
        </w:rPr>
        <w:t xml:space="preserve">sought to </w:t>
      </w:r>
      <w:r w:rsidRPr="00EC24F7">
        <w:rPr>
          <w:rFonts w:cs="Arial"/>
          <w:color w:val="242121"/>
          <w:shd w:val="clear" w:color="auto" w:fill="FFFFFF"/>
          <w:lang w:val="en-GB"/>
        </w:rPr>
        <w:t>avoid acquiring relevant information from their clients in order to avoid the obligation to disclose same to the Court.</w:t>
      </w:r>
      <w:r w:rsidR="006278E8" w:rsidRPr="00EC24F7">
        <w:rPr>
          <w:rFonts w:cs="Arial"/>
          <w:color w:val="242121"/>
          <w:shd w:val="clear" w:color="auto" w:fill="FFFFFF"/>
          <w:lang w:val="en-GB"/>
        </w:rPr>
        <w:t xml:space="preserve"> </w:t>
      </w:r>
      <w:r w:rsidRPr="00EC24F7">
        <w:rPr>
          <w:rFonts w:cs="Arial"/>
          <w:color w:val="242121"/>
          <w:shd w:val="clear" w:color="auto" w:fill="FFFFFF"/>
          <w:lang w:val="en-GB"/>
        </w:rPr>
        <w:t xml:space="preserve"> </w:t>
      </w:r>
      <w:r w:rsidRPr="00EC24F7">
        <w:rPr>
          <w:rFonts w:cs="Arial"/>
          <w:lang w:val="en-GB"/>
        </w:rPr>
        <w:t xml:space="preserve">More than this, the City </w:t>
      </w:r>
      <w:r w:rsidR="005478B8" w:rsidRPr="00EC24F7">
        <w:rPr>
          <w:rFonts w:cs="Arial"/>
          <w:lang w:val="en-GB"/>
        </w:rPr>
        <w:t>has been</w:t>
      </w:r>
      <w:r w:rsidR="00971D53">
        <w:rPr>
          <w:rFonts w:cs="Arial"/>
          <w:lang w:val="en-GB"/>
        </w:rPr>
        <w:t xml:space="preserve"> </w:t>
      </w:r>
      <w:r w:rsidRPr="00EC24F7">
        <w:rPr>
          <w:rFonts w:cs="Arial"/>
          <w:lang w:val="en-GB"/>
        </w:rPr>
        <w:t xml:space="preserve">hamstrung by NU’s strident </w:t>
      </w:r>
      <w:r w:rsidR="006278E8" w:rsidRPr="00EC24F7">
        <w:rPr>
          <w:rFonts w:cs="Arial"/>
          <w:lang w:val="en-GB"/>
        </w:rPr>
        <w:t xml:space="preserve">and baseless </w:t>
      </w:r>
      <w:r w:rsidRPr="00EC24F7">
        <w:rPr>
          <w:rFonts w:cs="Arial"/>
          <w:color w:val="000000"/>
          <w:lang w:val="en-GB"/>
        </w:rPr>
        <w:t xml:space="preserve">objections to any attempt to engage with the unlawful occupiers without their presence.  </w:t>
      </w:r>
      <w:r w:rsidR="00971D53">
        <w:rPr>
          <w:rFonts w:cs="Arial"/>
          <w:color w:val="000000"/>
          <w:lang w:val="en-GB"/>
        </w:rPr>
        <w:t>T</w:t>
      </w:r>
      <w:r w:rsidRPr="00EC24F7">
        <w:rPr>
          <w:rFonts w:cs="Arial"/>
          <w:color w:val="000000"/>
          <w:lang w:val="en-GB"/>
        </w:rPr>
        <w:t xml:space="preserve">he City’s task </w:t>
      </w:r>
      <w:r w:rsidR="00971D53">
        <w:rPr>
          <w:rFonts w:cs="Arial"/>
          <w:color w:val="000000"/>
          <w:lang w:val="en-GB"/>
        </w:rPr>
        <w:t xml:space="preserve">has been </w:t>
      </w:r>
      <w:r w:rsidRPr="00EC24F7">
        <w:rPr>
          <w:rFonts w:cs="Arial"/>
          <w:color w:val="000000"/>
          <w:lang w:val="en-GB"/>
        </w:rPr>
        <w:t>made even more difficult because NU has not provided accurate information regarding precisely who they represent.</w:t>
      </w:r>
      <w:r w:rsidRPr="00EC24F7">
        <w:rPr>
          <w:rStyle w:val="FootnoteReference"/>
          <w:rFonts w:cs="Arial"/>
          <w:color w:val="000000"/>
          <w:lang w:val="en-GB"/>
        </w:rPr>
        <w:footnoteReference w:id="115"/>
      </w:r>
      <w:r w:rsidRPr="00EC24F7">
        <w:rPr>
          <w:rFonts w:cs="Arial"/>
          <w:color w:val="000000"/>
          <w:lang w:val="en-GB"/>
        </w:rPr>
        <w:t xml:space="preserve">  </w:t>
      </w:r>
    </w:p>
    <w:p w14:paraId="22A7445C" w14:textId="4AA3A7C0" w:rsidR="000A7A21" w:rsidRPr="00EC24F7" w:rsidRDefault="000A7A21" w:rsidP="000A7A21">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lang w:val="en-GB"/>
        </w:rPr>
        <w:t xml:space="preserve">The contention advanced </w:t>
      </w:r>
      <w:r w:rsidR="00724090" w:rsidRPr="00EC24F7">
        <w:rPr>
          <w:rFonts w:cs="Arial"/>
          <w:lang w:val="en-GB"/>
        </w:rPr>
        <w:t xml:space="preserve">by NU </w:t>
      </w:r>
      <w:r w:rsidRPr="00EC24F7">
        <w:rPr>
          <w:rFonts w:cs="Arial"/>
          <w:lang w:val="en-GB"/>
        </w:rPr>
        <w:t xml:space="preserve">that the unlawful occupiers fled as a result of a lack of prior notification and </w:t>
      </w:r>
      <w:r w:rsidR="00CE6C63" w:rsidRPr="00EC24F7">
        <w:rPr>
          <w:rFonts w:cs="Arial"/>
          <w:lang w:val="en-GB"/>
        </w:rPr>
        <w:t>general distrust</w:t>
      </w:r>
      <w:r w:rsidR="00724090" w:rsidRPr="00EC24F7">
        <w:rPr>
          <w:rFonts w:cs="Arial"/>
          <w:lang w:val="en-GB"/>
        </w:rPr>
        <w:t xml:space="preserve"> law enforcement</w:t>
      </w:r>
      <w:r w:rsidR="00E07011" w:rsidRPr="00EC24F7">
        <w:rPr>
          <w:rStyle w:val="FootnoteReference"/>
          <w:rFonts w:cs="Arial"/>
          <w:lang w:val="en-GB"/>
        </w:rPr>
        <w:footnoteReference w:id="116"/>
      </w:r>
      <w:r w:rsidR="00724090" w:rsidRPr="00EC24F7">
        <w:rPr>
          <w:rFonts w:cs="Arial"/>
          <w:lang w:val="en-GB"/>
        </w:rPr>
        <w:t xml:space="preserve"> does not withstand scrutiny</w:t>
      </w:r>
      <w:r w:rsidRPr="00EC24F7">
        <w:rPr>
          <w:rFonts w:cs="Arial"/>
          <w:lang w:val="en-GB"/>
        </w:rPr>
        <w:t xml:space="preserve">. </w:t>
      </w:r>
      <w:r w:rsidR="00CE6C63" w:rsidRPr="00EC24F7">
        <w:rPr>
          <w:rFonts w:cs="Arial"/>
          <w:lang w:val="en-GB"/>
        </w:rPr>
        <w:t xml:space="preserve"> </w:t>
      </w:r>
      <w:r w:rsidRPr="00EC24F7">
        <w:rPr>
          <w:rFonts w:cs="Arial"/>
          <w:lang w:val="en-GB"/>
        </w:rPr>
        <w:t xml:space="preserve">There </w:t>
      </w:r>
      <w:r w:rsidR="0026577F">
        <w:rPr>
          <w:rFonts w:cs="Arial"/>
          <w:lang w:val="en-GB"/>
        </w:rPr>
        <w:t>wa</w:t>
      </w:r>
      <w:r w:rsidRPr="00EC24F7">
        <w:rPr>
          <w:rFonts w:cs="Arial"/>
          <w:lang w:val="en-GB"/>
        </w:rPr>
        <w:t xml:space="preserve">s no legitimate reason for a </w:t>
      </w:r>
      <w:r w:rsidR="00CE6C63" w:rsidRPr="00EC24F7">
        <w:rPr>
          <w:rFonts w:cs="Arial"/>
          <w:lang w:val="en-GB"/>
        </w:rPr>
        <w:t xml:space="preserve">large </w:t>
      </w:r>
      <w:r w:rsidRPr="00EC24F7">
        <w:rPr>
          <w:rFonts w:cs="Arial"/>
          <w:lang w:val="en-GB"/>
        </w:rPr>
        <w:t xml:space="preserve">contingent of the unlawful occupiers to flee </w:t>
      </w:r>
      <w:r w:rsidR="00CE6C63" w:rsidRPr="00EC24F7">
        <w:rPr>
          <w:rFonts w:cs="Arial"/>
          <w:lang w:val="en-GB"/>
        </w:rPr>
        <w:t xml:space="preserve">when the survey was being conducted </w:t>
      </w:r>
      <w:r w:rsidRPr="00EC24F7">
        <w:rPr>
          <w:rFonts w:cs="Arial"/>
          <w:lang w:val="en-GB"/>
        </w:rPr>
        <w:t xml:space="preserve">unless they </w:t>
      </w:r>
      <w:r w:rsidRPr="00EC24F7">
        <w:rPr>
          <w:rFonts w:cs="Arial"/>
          <w:lang w:val="en-GB"/>
        </w:rPr>
        <w:lastRenderedPageBreak/>
        <w:t>feared being identified as undocumented foreign nationals</w:t>
      </w:r>
      <w:r w:rsidR="00724090" w:rsidRPr="00EC24F7">
        <w:rPr>
          <w:rFonts w:cs="Arial"/>
          <w:lang w:val="en-GB"/>
        </w:rPr>
        <w:t xml:space="preserve"> or </w:t>
      </w:r>
      <w:r w:rsidR="00985D3D" w:rsidRPr="00EC24F7">
        <w:rPr>
          <w:rFonts w:cs="Arial"/>
          <w:lang w:val="en-GB"/>
        </w:rPr>
        <w:t>perpetrators</w:t>
      </w:r>
      <w:r w:rsidR="00724090" w:rsidRPr="00EC24F7">
        <w:rPr>
          <w:rFonts w:cs="Arial"/>
          <w:lang w:val="en-GB"/>
        </w:rPr>
        <w:t xml:space="preserve"> of the very criminal activity that the City relies on.</w:t>
      </w:r>
    </w:p>
    <w:p w14:paraId="402D6FE1" w14:textId="203D0D2E" w:rsidR="007E13C1" w:rsidRPr="00EC24F7" w:rsidRDefault="00CE6C63" w:rsidP="007E13C1">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The City has taken reasonable steps to engage with the unlawful occupiers and has</w:t>
      </w:r>
      <w:r w:rsidR="000A7A21" w:rsidRPr="00EC24F7">
        <w:rPr>
          <w:rFonts w:cs="Arial"/>
          <w:lang w:val="en-GB"/>
        </w:rPr>
        <w:t xml:space="preserve"> established the</w:t>
      </w:r>
      <w:r w:rsidR="003A0F84">
        <w:rPr>
          <w:rFonts w:cs="Arial"/>
          <w:lang w:val="en-GB"/>
        </w:rPr>
        <w:t>ir</w:t>
      </w:r>
      <w:r w:rsidR="000A7A21" w:rsidRPr="00EC24F7">
        <w:rPr>
          <w:rFonts w:cs="Arial"/>
          <w:lang w:val="en-GB"/>
        </w:rPr>
        <w:t xml:space="preserve"> personal circumstances as far as </w:t>
      </w:r>
      <w:r w:rsidRPr="00EC24F7">
        <w:rPr>
          <w:rFonts w:cs="Arial"/>
          <w:lang w:val="en-GB"/>
        </w:rPr>
        <w:t>it has</w:t>
      </w:r>
      <w:r w:rsidR="000A7A21" w:rsidRPr="00EC24F7">
        <w:rPr>
          <w:rFonts w:cs="Arial"/>
          <w:lang w:val="en-GB"/>
        </w:rPr>
        <w:t xml:space="preserve"> been able to do, </w:t>
      </w:r>
      <w:r w:rsidR="001550B1">
        <w:rPr>
          <w:rFonts w:cs="Arial"/>
          <w:lang w:val="en-GB"/>
        </w:rPr>
        <w:t>and</w:t>
      </w:r>
      <w:r w:rsidR="000A7A21" w:rsidRPr="00EC24F7">
        <w:rPr>
          <w:rFonts w:cs="Arial"/>
          <w:lang w:val="en-GB"/>
        </w:rPr>
        <w:t xml:space="preserve"> has presented the results of </w:t>
      </w:r>
      <w:r w:rsidR="001550B1">
        <w:rPr>
          <w:rFonts w:cs="Arial"/>
          <w:lang w:val="en-GB"/>
        </w:rPr>
        <w:t>the</w:t>
      </w:r>
      <w:r w:rsidR="000A7A21" w:rsidRPr="00EC24F7">
        <w:rPr>
          <w:rFonts w:cs="Arial"/>
          <w:lang w:val="en-GB"/>
        </w:rPr>
        <w:t xml:space="preserve"> surveys in its answering affidavit</w:t>
      </w:r>
      <w:r w:rsidRPr="00EC24F7">
        <w:rPr>
          <w:rFonts w:cs="Arial"/>
          <w:lang w:val="en-GB"/>
        </w:rPr>
        <w:t>.</w:t>
      </w:r>
      <w:r w:rsidR="000A7A21" w:rsidRPr="00EC24F7">
        <w:rPr>
          <w:rStyle w:val="FootnoteReference"/>
          <w:rFonts w:cs="Arial"/>
          <w:lang w:val="en-GB"/>
        </w:rPr>
        <w:footnoteReference w:id="117"/>
      </w:r>
      <w:r w:rsidR="000A7A21" w:rsidRPr="00EC24F7">
        <w:rPr>
          <w:rFonts w:cs="Arial"/>
          <w:lang w:val="en-GB"/>
        </w:rPr>
        <w:t xml:space="preserve"> The City could do no more in light of NU’s strident </w:t>
      </w:r>
      <w:r w:rsidRPr="00EC24F7">
        <w:rPr>
          <w:rFonts w:cs="Arial"/>
          <w:lang w:val="en-GB"/>
        </w:rPr>
        <w:t xml:space="preserve">and unreasonable </w:t>
      </w:r>
      <w:r w:rsidR="000A7A21" w:rsidRPr="00EC24F7">
        <w:rPr>
          <w:rFonts w:cs="Arial"/>
          <w:lang w:val="en-GB"/>
        </w:rPr>
        <w:t>objections</w:t>
      </w:r>
      <w:r w:rsidR="00437C17" w:rsidRPr="00EC24F7">
        <w:rPr>
          <w:rFonts w:cs="Arial"/>
          <w:lang w:val="en-GB"/>
        </w:rPr>
        <w:t xml:space="preserve"> and the lack of co-operation by the unlawful occupiers</w:t>
      </w:r>
      <w:r w:rsidR="000A7A21" w:rsidRPr="00EC24F7">
        <w:rPr>
          <w:rFonts w:cs="Arial"/>
          <w:lang w:val="en-GB"/>
        </w:rPr>
        <w:t xml:space="preserve">, and </w:t>
      </w:r>
      <w:r w:rsidR="00437C17" w:rsidRPr="00EC24F7">
        <w:rPr>
          <w:rFonts w:cs="Arial"/>
          <w:lang w:val="en-GB"/>
        </w:rPr>
        <w:t>in any event in circumstances where the unlawful occupiers are legally represented, the City cannot be held responsible for their</w:t>
      </w:r>
      <w:r w:rsidR="000A7A21" w:rsidRPr="00EC24F7">
        <w:rPr>
          <w:rFonts w:cs="Arial"/>
          <w:lang w:val="en-GB"/>
        </w:rPr>
        <w:t xml:space="preserve"> </w:t>
      </w:r>
      <w:r w:rsidR="00437C17" w:rsidRPr="00EC24F7">
        <w:rPr>
          <w:rFonts w:cs="Arial"/>
          <w:lang w:val="en-GB"/>
        </w:rPr>
        <w:t xml:space="preserve">failure and/or refusal </w:t>
      </w:r>
      <w:r w:rsidR="000A7A21" w:rsidRPr="00EC24F7">
        <w:rPr>
          <w:rFonts w:cs="Arial"/>
          <w:lang w:val="en-GB"/>
        </w:rPr>
        <w:t xml:space="preserve">to put up </w:t>
      </w:r>
      <w:r w:rsidR="00437C17" w:rsidRPr="00EC24F7">
        <w:rPr>
          <w:rFonts w:cs="Arial"/>
          <w:lang w:val="en-GB"/>
        </w:rPr>
        <w:t xml:space="preserve">sufficient details of their own </w:t>
      </w:r>
      <w:r w:rsidR="000A7A21" w:rsidRPr="00EC24F7">
        <w:rPr>
          <w:rFonts w:cs="Arial"/>
          <w:lang w:val="en-GB"/>
        </w:rPr>
        <w:t>personal circumstances</w:t>
      </w:r>
      <w:r w:rsidR="00437C17" w:rsidRPr="00EC24F7">
        <w:rPr>
          <w:rFonts w:cs="Arial"/>
          <w:lang w:val="en-GB"/>
        </w:rPr>
        <w:t>, which are uniquely within their knowledge.</w:t>
      </w:r>
      <w:r w:rsidR="007E13C1" w:rsidRPr="00EC24F7">
        <w:rPr>
          <w:rFonts w:cs="Arial"/>
          <w:lang w:val="en-GB"/>
        </w:rPr>
        <w:t xml:space="preserve">  </w:t>
      </w:r>
    </w:p>
    <w:p w14:paraId="48CB1E98" w14:textId="5FDD2D3B" w:rsidR="00433FC2" w:rsidRPr="00EC24F7" w:rsidRDefault="000A7A21" w:rsidP="007E13C1">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 xml:space="preserve">Transnet fails to appreciate that the City is not seeking </w:t>
      </w:r>
      <w:r w:rsidR="00EA77C8">
        <w:rPr>
          <w:rFonts w:cs="Arial"/>
          <w:lang w:val="en-GB"/>
        </w:rPr>
        <w:t>the</w:t>
      </w:r>
      <w:r w:rsidRPr="00EC24F7">
        <w:rPr>
          <w:rFonts w:cs="Arial"/>
          <w:lang w:val="en-GB"/>
        </w:rPr>
        <w:t xml:space="preserve"> eviction</w:t>
      </w:r>
      <w:r w:rsidR="00437C17" w:rsidRPr="00EC24F7">
        <w:rPr>
          <w:rFonts w:cs="Arial"/>
          <w:lang w:val="en-GB"/>
        </w:rPr>
        <w:t xml:space="preserve">. </w:t>
      </w:r>
      <w:r w:rsidRPr="00EC24F7">
        <w:rPr>
          <w:rFonts w:cs="Arial"/>
          <w:lang w:val="en-GB"/>
        </w:rPr>
        <w:t xml:space="preserve"> </w:t>
      </w:r>
      <w:r w:rsidR="00437C17" w:rsidRPr="00EC24F7">
        <w:rPr>
          <w:rFonts w:cs="Arial"/>
          <w:lang w:val="en-GB"/>
        </w:rPr>
        <w:t>W</w:t>
      </w:r>
      <w:r w:rsidRPr="00EC24F7">
        <w:rPr>
          <w:rFonts w:cs="Arial"/>
          <w:lang w:val="en-GB"/>
        </w:rPr>
        <w:t xml:space="preserve">hile the City </w:t>
      </w:r>
      <w:r w:rsidR="00437C17" w:rsidRPr="00EC24F7">
        <w:rPr>
          <w:rFonts w:cs="Arial"/>
          <w:lang w:val="en-GB"/>
        </w:rPr>
        <w:t>does not oppose and in fact supports the relief sought by Transnet</w:t>
      </w:r>
      <w:r w:rsidRPr="00EC24F7">
        <w:rPr>
          <w:rFonts w:cs="Arial"/>
          <w:lang w:val="en-GB"/>
        </w:rPr>
        <w:t xml:space="preserve">, it is Transnet </w:t>
      </w:r>
      <w:r w:rsidR="00437C17" w:rsidRPr="00EC24F7">
        <w:rPr>
          <w:rFonts w:cs="Arial"/>
          <w:lang w:val="en-GB"/>
        </w:rPr>
        <w:t xml:space="preserve">which as </w:t>
      </w:r>
      <w:r w:rsidRPr="00EC24F7">
        <w:rPr>
          <w:rFonts w:cs="Arial"/>
          <w:lang w:val="en-GB"/>
        </w:rPr>
        <w:t xml:space="preserve">an organ of </w:t>
      </w:r>
      <w:r w:rsidR="00437C17" w:rsidRPr="00EC24F7">
        <w:rPr>
          <w:rFonts w:cs="Arial"/>
          <w:lang w:val="en-GB"/>
        </w:rPr>
        <w:t>S</w:t>
      </w:r>
      <w:r w:rsidRPr="00EC24F7">
        <w:rPr>
          <w:rFonts w:cs="Arial"/>
          <w:lang w:val="en-GB"/>
        </w:rPr>
        <w:t xml:space="preserve">tate seeking an eviction, </w:t>
      </w:r>
      <w:r w:rsidR="00EA77C8">
        <w:rPr>
          <w:rFonts w:cs="Arial"/>
          <w:lang w:val="en-GB"/>
        </w:rPr>
        <w:t xml:space="preserve">which </w:t>
      </w:r>
      <w:r w:rsidRPr="00EC24F7">
        <w:rPr>
          <w:rFonts w:cs="Arial"/>
          <w:lang w:val="en-GB"/>
        </w:rPr>
        <w:t xml:space="preserve">also bears a duty to meaningfully engage with the </w:t>
      </w:r>
      <w:r w:rsidR="00437C17" w:rsidRPr="00EC24F7">
        <w:rPr>
          <w:rFonts w:cs="Arial"/>
          <w:lang w:val="en-GB"/>
        </w:rPr>
        <w:t xml:space="preserve">unlawful </w:t>
      </w:r>
      <w:r w:rsidRPr="00EC24F7">
        <w:rPr>
          <w:rFonts w:cs="Arial"/>
          <w:lang w:val="en-GB"/>
        </w:rPr>
        <w:t xml:space="preserve">occupiers. </w:t>
      </w:r>
      <w:r w:rsidR="00437C17" w:rsidRPr="00EC24F7">
        <w:rPr>
          <w:rFonts w:cs="Arial"/>
          <w:lang w:val="en-GB"/>
        </w:rPr>
        <w:t xml:space="preserve"> </w:t>
      </w:r>
      <w:r w:rsidRPr="00EC24F7">
        <w:rPr>
          <w:rFonts w:cs="Arial"/>
          <w:lang w:val="en-GB"/>
        </w:rPr>
        <w:t>It is i</w:t>
      </w:r>
      <w:r w:rsidR="00437C17" w:rsidRPr="00EC24F7">
        <w:rPr>
          <w:rFonts w:cs="Arial"/>
          <w:lang w:val="en-GB"/>
        </w:rPr>
        <w:t>nappropriate</w:t>
      </w:r>
      <w:r w:rsidRPr="00EC24F7">
        <w:rPr>
          <w:rFonts w:cs="Arial"/>
          <w:lang w:val="en-GB"/>
        </w:rPr>
        <w:t xml:space="preserve"> for Transnet to</w:t>
      </w:r>
      <w:r w:rsidR="00437C17" w:rsidRPr="00EC24F7">
        <w:rPr>
          <w:rFonts w:cs="Arial"/>
          <w:lang w:val="en-GB"/>
        </w:rPr>
        <w:t xml:space="preserve"> seek to</w:t>
      </w:r>
      <w:r w:rsidRPr="00EC24F7">
        <w:rPr>
          <w:rFonts w:cs="Arial"/>
          <w:lang w:val="en-GB"/>
        </w:rPr>
        <w:t xml:space="preserve"> foist this obligation solely on the City, given that it is not the City that seeks the eviction. </w:t>
      </w:r>
      <w:r w:rsidR="009475AA" w:rsidRPr="00EC24F7">
        <w:rPr>
          <w:rFonts w:cs="Arial"/>
          <w:lang w:val="en-GB"/>
        </w:rPr>
        <w:t xml:space="preserve"> T</w:t>
      </w:r>
      <w:r w:rsidRPr="00EC24F7">
        <w:rPr>
          <w:rFonts w:cs="Arial"/>
          <w:lang w:val="en-GB"/>
        </w:rPr>
        <w:t>he City</w:t>
      </w:r>
      <w:r w:rsidR="009475AA" w:rsidRPr="00EC24F7">
        <w:rPr>
          <w:rFonts w:cs="Arial"/>
          <w:lang w:val="en-GB"/>
        </w:rPr>
        <w:t xml:space="preserve"> submits that it </w:t>
      </w:r>
      <w:r w:rsidRPr="00EC24F7">
        <w:rPr>
          <w:rFonts w:cs="Arial"/>
          <w:lang w:val="en-GB"/>
        </w:rPr>
        <w:t xml:space="preserve">has engaged as far as it is able to, in light of the challenges </w:t>
      </w:r>
      <w:r w:rsidR="00EA77C8">
        <w:rPr>
          <w:rFonts w:cs="Arial"/>
          <w:lang w:val="en-GB"/>
        </w:rPr>
        <w:t>experienced</w:t>
      </w:r>
      <w:r w:rsidRPr="00EC24F7">
        <w:rPr>
          <w:rFonts w:cs="Arial"/>
          <w:lang w:val="en-GB"/>
        </w:rPr>
        <w:t xml:space="preserve">. </w:t>
      </w:r>
    </w:p>
    <w:p w14:paraId="3D79044A" w14:textId="77777777" w:rsidR="00C638FC" w:rsidRPr="00EC24F7" w:rsidRDefault="00C638FC" w:rsidP="00C638FC">
      <w:pPr>
        <w:pStyle w:val="Heading1"/>
        <w:rPr>
          <w:rFonts w:cs="Arial"/>
          <w:b w:val="0"/>
          <w:bCs/>
          <w:szCs w:val="24"/>
          <w:lang w:val="en-GB"/>
        </w:rPr>
      </w:pPr>
      <w:bookmarkStart w:id="9" w:name="_Toc225751552"/>
      <w:bookmarkStart w:id="10" w:name="_Toc226040125"/>
      <w:r w:rsidRPr="00EC24F7">
        <w:rPr>
          <w:rFonts w:cs="Arial"/>
          <w:bCs/>
          <w:szCs w:val="24"/>
          <w:lang w:val="en-GB"/>
        </w:rPr>
        <w:t xml:space="preserve">EMERGENCY </w:t>
      </w:r>
      <w:bookmarkEnd w:id="9"/>
      <w:r w:rsidRPr="00EC24F7">
        <w:rPr>
          <w:rFonts w:cs="Arial"/>
          <w:bCs/>
          <w:szCs w:val="24"/>
          <w:lang w:val="en-GB"/>
        </w:rPr>
        <w:t>HOUSING</w:t>
      </w:r>
      <w:bookmarkEnd w:id="10"/>
    </w:p>
    <w:p w14:paraId="66A65E93" w14:textId="09E5E1B2" w:rsidR="00C638FC" w:rsidRPr="00EC24F7" w:rsidRDefault="00A914DF" w:rsidP="00C638FC">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I</w:t>
      </w:r>
      <w:r w:rsidR="00C638FC" w:rsidRPr="00EC24F7">
        <w:rPr>
          <w:rFonts w:cs="Arial"/>
          <w:lang w:val="en-GB"/>
        </w:rPr>
        <w:t>n the event that the Court finds that notwithstanding that which the City contends</w:t>
      </w:r>
      <w:r w:rsidRPr="00EC24F7">
        <w:rPr>
          <w:rFonts w:cs="Arial"/>
          <w:lang w:val="en-GB"/>
        </w:rPr>
        <w:t>,</w:t>
      </w:r>
      <w:r w:rsidR="00C638FC" w:rsidRPr="00EC24F7">
        <w:rPr>
          <w:rFonts w:cs="Arial"/>
          <w:lang w:val="en-GB"/>
        </w:rPr>
        <w:t xml:space="preserve"> </w:t>
      </w:r>
      <w:r w:rsidRPr="00EC24F7">
        <w:rPr>
          <w:rFonts w:cs="Arial"/>
          <w:lang w:val="en-GB"/>
        </w:rPr>
        <w:t>it is</w:t>
      </w:r>
      <w:r w:rsidR="00C638FC" w:rsidRPr="00EC24F7">
        <w:rPr>
          <w:rFonts w:cs="Arial"/>
          <w:lang w:val="en-GB"/>
        </w:rPr>
        <w:t xml:space="preserve"> nonetheless just and equitable</w:t>
      </w:r>
      <w:r w:rsidRPr="00EC24F7">
        <w:rPr>
          <w:rFonts w:cs="Arial"/>
          <w:lang w:val="en-GB"/>
        </w:rPr>
        <w:t xml:space="preserve"> to provide emergency housing</w:t>
      </w:r>
      <w:r w:rsidR="006D29E6">
        <w:rPr>
          <w:rFonts w:cs="Arial"/>
          <w:lang w:val="en-GB"/>
        </w:rPr>
        <w:t xml:space="preserve"> to the unlawful occupiers,</w:t>
      </w:r>
      <w:r w:rsidRPr="00EC24F7">
        <w:rPr>
          <w:rFonts w:cs="Arial"/>
          <w:lang w:val="en-GB"/>
        </w:rPr>
        <w:t xml:space="preserve"> the City contends that it does not bear the sole obligation to provide </w:t>
      </w:r>
      <w:r w:rsidRPr="00EC24F7">
        <w:rPr>
          <w:rFonts w:cs="Arial"/>
          <w:lang w:val="en-GB"/>
        </w:rPr>
        <w:lastRenderedPageBreak/>
        <w:t>same in the circumstances of this matter and that the Langa site would be appropriate for this purpose.</w:t>
      </w:r>
    </w:p>
    <w:p w14:paraId="0CCDFC7B" w14:textId="77777777" w:rsidR="00C638FC" w:rsidRPr="00EC24F7" w:rsidRDefault="00C638FC" w:rsidP="00C638FC">
      <w:pPr>
        <w:pStyle w:val="Heading2"/>
        <w:rPr>
          <w:rFonts w:cs="Arial"/>
          <w:b w:val="0"/>
          <w:bCs/>
          <w:szCs w:val="24"/>
          <w:lang w:val="en-GB"/>
        </w:rPr>
      </w:pPr>
      <w:bookmarkStart w:id="11" w:name="_Toc225751553"/>
      <w:bookmarkStart w:id="12" w:name="_Toc226040126"/>
      <w:r w:rsidRPr="00EC24F7">
        <w:rPr>
          <w:rFonts w:cs="Arial"/>
          <w:bCs/>
          <w:szCs w:val="24"/>
          <w:lang w:val="en-GB"/>
        </w:rPr>
        <w:t>Transnet’s Obligations</w:t>
      </w:r>
      <w:bookmarkEnd w:id="11"/>
      <w:bookmarkEnd w:id="12"/>
      <w:r w:rsidRPr="00EC24F7">
        <w:rPr>
          <w:rFonts w:cs="Arial"/>
          <w:bCs/>
          <w:szCs w:val="24"/>
          <w:lang w:val="en-GB"/>
        </w:rPr>
        <w:t xml:space="preserve"> </w:t>
      </w:r>
    </w:p>
    <w:p w14:paraId="555BA205" w14:textId="7918230A" w:rsidR="00C638FC" w:rsidRPr="00EC24F7" w:rsidRDefault="00C638FC" w:rsidP="00C638FC">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 xml:space="preserve">Transnet </w:t>
      </w:r>
      <w:r w:rsidR="009B23EE" w:rsidRPr="00EC24F7">
        <w:rPr>
          <w:rFonts w:cs="Arial"/>
          <w:lang w:val="en-GB"/>
        </w:rPr>
        <w:t>proceeds from the mistaken belief that</w:t>
      </w:r>
      <w:r w:rsidRPr="00EC24F7">
        <w:rPr>
          <w:rFonts w:cs="Arial"/>
          <w:lang w:val="en-GB"/>
        </w:rPr>
        <w:t xml:space="preserve"> it bears no obligation to provide </w:t>
      </w:r>
      <w:r w:rsidR="009B23EE" w:rsidRPr="00EC24F7">
        <w:rPr>
          <w:rFonts w:cs="Arial"/>
          <w:lang w:val="en-GB"/>
        </w:rPr>
        <w:t xml:space="preserve">emergency </w:t>
      </w:r>
      <w:r w:rsidRPr="00EC24F7">
        <w:rPr>
          <w:rFonts w:cs="Arial"/>
          <w:lang w:val="en-GB"/>
        </w:rPr>
        <w:t xml:space="preserve">housing because this is not part of Transnet’s </w:t>
      </w:r>
      <w:r w:rsidR="009B23EE" w:rsidRPr="00EC24F7">
        <w:rPr>
          <w:rFonts w:cs="Arial"/>
          <w:lang w:val="en-GB"/>
        </w:rPr>
        <w:t xml:space="preserve">core </w:t>
      </w:r>
      <w:r w:rsidRPr="00EC24F7">
        <w:rPr>
          <w:rFonts w:cs="Arial"/>
          <w:lang w:val="en-GB"/>
        </w:rPr>
        <w:t>function</w:t>
      </w:r>
      <w:r w:rsidR="009B23EE" w:rsidRPr="00EC24F7">
        <w:rPr>
          <w:rFonts w:cs="Arial"/>
          <w:lang w:val="en-GB"/>
        </w:rPr>
        <w:t>s</w:t>
      </w:r>
      <w:r w:rsidRPr="00EC24F7">
        <w:rPr>
          <w:rFonts w:cs="Arial"/>
          <w:lang w:val="en-GB"/>
        </w:rPr>
        <w:t>.</w:t>
      </w:r>
      <w:r w:rsidRPr="00EC24F7">
        <w:rPr>
          <w:rStyle w:val="FootnoteReference"/>
          <w:rFonts w:cs="Arial"/>
          <w:lang w:val="en-GB"/>
        </w:rPr>
        <w:footnoteReference w:id="118"/>
      </w:r>
    </w:p>
    <w:p w14:paraId="7F6C8DC6" w14:textId="13AACC90" w:rsidR="00C638FC" w:rsidRPr="00EC24F7" w:rsidRDefault="00C638FC" w:rsidP="00B5167E">
      <w:pPr>
        <w:pStyle w:val="ListParagraph"/>
        <w:numPr>
          <w:ilvl w:val="0"/>
          <w:numId w:val="2"/>
        </w:numPr>
        <w:spacing w:before="120" w:beforeAutospacing="0" w:after="360" w:afterAutospacing="0" w:line="480" w:lineRule="auto"/>
        <w:jc w:val="both"/>
        <w:rPr>
          <w:rFonts w:cs="Arial"/>
        </w:rPr>
      </w:pPr>
      <w:r w:rsidRPr="00EC24F7">
        <w:rPr>
          <w:rFonts w:cs="Arial"/>
          <w:lang w:val="en-GB"/>
        </w:rPr>
        <w:t xml:space="preserve">While Transnet </w:t>
      </w:r>
      <w:r w:rsidR="00B5167E" w:rsidRPr="00EC24F7">
        <w:rPr>
          <w:rFonts w:cs="Arial"/>
          <w:lang w:val="en-GB"/>
        </w:rPr>
        <w:t>states that it is</w:t>
      </w:r>
      <w:r w:rsidRPr="00EC24F7">
        <w:rPr>
          <w:rFonts w:cs="Arial"/>
          <w:lang w:val="en-GB"/>
        </w:rPr>
        <w:t xml:space="preserve"> willing to dispose of </w:t>
      </w:r>
      <w:r w:rsidR="00B5167E" w:rsidRPr="00EC24F7">
        <w:rPr>
          <w:rFonts w:cs="Arial"/>
          <w:lang w:val="en-GB"/>
        </w:rPr>
        <w:t xml:space="preserve">the Langa site </w:t>
      </w:r>
      <w:r w:rsidR="00014024">
        <w:rPr>
          <w:rFonts w:cs="Arial"/>
          <w:lang w:val="en-GB"/>
        </w:rPr>
        <w:t xml:space="preserve">to the City for </w:t>
      </w:r>
      <w:r w:rsidR="00B5167E" w:rsidRPr="00EC24F7">
        <w:rPr>
          <w:rFonts w:cs="Arial"/>
          <w:lang w:val="en-GB"/>
        </w:rPr>
        <w:t xml:space="preserve">emergency housing to the unlawful occupiers it </w:t>
      </w:r>
      <w:r w:rsidRPr="00EC24F7">
        <w:rPr>
          <w:rFonts w:cs="Arial"/>
          <w:lang w:val="en-GB"/>
        </w:rPr>
        <w:t>simultaneously objects to an order requiring it to dispose of the property in the absence of an explanation by the City regarding its own resources.</w:t>
      </w:r>
      <w:r w:rsidRPr="00EC24F7">
        <w:rPr>
          <w:rStyle w:val="FootnoteReference"/>
          <w:rFonts w:cs="Arial"/>
          <w:lang w:val="en-GB"/>
        </w:rPr>
        <w:footnoteReference w:id="119"/>
      </w:r>
    </w:p>
    <w:p w14:paraId="5B0705BD" w14:textId="79951D7B" w:rsidR="003A0BFD" w:rsidRPr="00EC24F7" w:rsidRDefault="00C638FC" w:rsidP="00C10C31">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lang w:val="en-GB"/>
        </w:rPr>
        <w:t>Part A of Schedule 4 of the Constitution lists housing as one of the functional areas of concurrent national and provincial legislative competence</w:t>
      </w:r>
      <w:r w:rsidR="00995EF6" w:rsidRPr="00EC24F7">
        <w:rPr>
          <w:rFonts w:cs="Arial"/>
          <w:lang w:val="en-GB"/>
        </w:rPr>
        <w:t>.</w:t>
      </w:r>
      <w:r w:rsidRPr="00EC24F7">
        <w:rPr>
          <w:rFonts w:cs="Arial"/>
          <w:lang w:val="en-GB"/>
        </w:rPr>
        <w:t xml:space="preserve"> </w:t>
      </w:r>
      <w:r w:rsidR="00995EF6" w:rsidRPr="00EC24F7">
        <w:rPr>
          <w:rFonts w:cs="Arial"/>
          <w:lang w:val="en-GB"/>
        </w:rPr>
        <w:t>T</w:t>
      </w:r>
      <w:r w:rsidRPr="00EC24F7">
        <w:rPr>
          <w:rFonts w:cs="Arial"/>
          <w:lang w:val="en-GB"/>
        </w:rPr>
        <w:t xml:space="preserve">he Constitutional Court has made it clear that the </w:t>
      </w:r>
      <w:r w:rsidRPr="00EC24F7">
        <w:rPr>
          <w:rFonts w:eastAsiaTheme="minorHAnsi" w:cs="Arial"/>
          <w:lang w:val="en-GB" w:eastAsia="en-US"/>
        </w:rPr>
        <w:t>duty regarding housing in s 26 of the Constitution falls on all three spheres of government — local, provincial and national — which are obliged to cooperate.</w:t>
      </w:r>
      <w:r w:rsidRPr="00EC24F7">
        <w:rPr>
          <w:rStyle w:val="FootnoteReference"/>
          <w:rFonts w:eastAsiaTheme="minorHAnsi" w:cs="Arial"/>
          <w:lang w:val="en-GB" w:eastAsia="en-US"/>
        </w:rPr>
        <w:footnoteReference w:id="120"/>
      </w:r>
      <w:r w:rsidR="001236DD" w:rsidRPr="00EC24F7">
        <w:rPr>
          <w:rFonts w:eastAsiaTheme="minorHAnsi" w:cs="Arial"/>
          <w:lang w:val="en-GB" w:eastAsia="en-US"/>
        </w:rPr>
        <w:t xml:space="preserve">  </w:t>
      </w:r>
    </w:p>
    <w:p w14:paraId="493BDD76" w14:textId="3439580E" w:rsidR="009B4014" w:rsidRPr="00EC24F7" w:rsidRDefault="00C10C31" w:rsidP="007A4181">
      <w:pPr>
        <w:pStyle w:val="ListParagraph"/>
        <w:numPr>
          <w:ilvl w:val="0"/>
          <w:numId w:val="2"/>
        </w:numPr>
        <w:snapToGrid w:val="0"/>
        <w:spacing w:before="120" w:beforeAutospacing="0" w:after="360" w:afterAutospacing="0" w:line="480" w:lineRule="auto"/>
        <w:jc w:val="both"/>
        <w:rPr>
          <w:rStyle w:val="t286pc"/>
          <w:rFonts w:cs="Arial"/>
          <w:color w:val="000000"/>
          <w:lang w:val="en-GB"/>
        </w:rPr>
      </w:pPr>
      <w:r w:rsidRPr="00EC24F7">
        <w:rPr>
          <w:rStyle w:val="t286pc"/>
          <w:rFonts w:cs="Arial"/>
        </w:rPr>
        <w:t>T</w:t>
      </w:r>
      <w:r w:rsidRPr="00EC24F7">
        <w:rPr>
          <w:rStyle w:val="t286pc"/>
          <w:rFonts w:cs="Arial"/>
        </w:rPr>
        <w:t>he constitutional duty to respect, protect, promote, and fulfil the right</w:t>
      </w:r>
      <w:r w:rsidR="003A0BFD" w:rsidRPr="00EC24F7">
        <w:rPr>
          <w:rStyle w:val="t286pc"/>
          <w:rFonts w:cs="Arial"/>
        </w:rPr>
        <w:t>s in the Bill of Rights which include the rights in ss 26(2) and (3)</w:t>
      </w:r>
      <w:r w:rsidRPr="00EC24F7">
        <w:rPr>
          <w:rStyle w:val="t286pc"/>
          <w:rFonts w:cs="Arial"/>
        </w:rPr>
        <w:t xml:space="preserve"> bind</w:t>
      </w:r>
      <w:r w:rsidR="00015C03">
        <w:rPr>
          <w:rStyle w:val="t286pc"/>
          <w:rFonts w:cs="Arial"/>
        </w:rPr>
        <w:t>s</w:t>
      </w:r>
      <w:r w:rsidRPr="00EC24F7">
        <w:rPr>
          <w:rStyle w:val="t286pc"/>
          <w:rFonts w:cs="Arial"/>
        </w:rPr>
        <w:t xml:space="preserve"> the </w:t>
      </w:r>
      <w:r w:rsidR="003A0BFD" w:rsidRPr="00EC24F7">
        <w:rPr>
          <w:rStyle w:val="t286pc"/>
          <w:rFonts w:cs="Arial"/>
        </w:rPr>
        <w:t>S</w:t>
      </w:r>
      <w:r w:rsidRPr="00EC24F7">
        <w:rPr>
          <w:rStyle w:val="t286pc"/>
          <w:rFonts w:cs="Arial"/>
        </w:rPr>
        <w:t>tate as a whole.</w:t>
      </w:r>
      <w:r w:rsidR="00F2145F" w:rsidRPr="00EC24F7">
        <w:rPr>
          <w:rStyle w:val="FootnoteReference"/>
          <w:rFonts w:cs="Arial"/>
        </w:rPr>
        <w:footnoteReference w:id="121"/>
      </w:r>
      <w:r w:rsidRPr="00EC24F7">
        <w:rPr>
          <w:rStyle w:val="t286pc"/>
          <w:rFonts w:cs="Arial"/>
        </w:rPr>
        <w:t xml:space="preserve"> </w:t>
      </w:r>
      <w:r w:rsidR="003A0BFD" w:rsidRPr="00EC24F7">
        <w:rPr>
          <w:rStyle w:val="t286pc"/>
          <w:rFonts w:cs="Arial"/>
        </w:rPr>
        <w:t xml:space="preserve"> </w:t>
      </w:r>
      <w:r w:rsidRPr="00EC24F7">
        <w:rPr>
          <w:rStyle w:val="t286pc"/>
          <w:rFonts w:cs="Arial"/>
        </w:rPr>
        <w:t xml:space="preserve">An organ of </w:t>
      </w:r>
      <w:r w:rsidR="003A0BFD" w:rsidRPr="00EC24F7">
        <w:rPr>
          <w:rStyle w:val="t286pc"/>
          <w:rFonts w:cs="Arial"/>
        </w:rPr>
        <w:t>S</w:t>
      </w:r>
      <w:r w:rsidRPr="00EC24F7">
        <w:rPr>
          <w:rStyle w:val="t286pc"/>
          <w:rFonts w:cs="Arial"/>
        </w:rPr>
        <w:t xml:space="preserve">tate cannot </w:t>
      </w:r>
      <w:r w:rsidR="003A0BFD" w:rsidRPr="00EC24F7">
        <w:rPr>
          <w:rStyle w:val="t286pc"/>
          <w:rFonts w:cs="Arial"/>
        </w:rPr>
        <w:t>seek to</w:t>
      </w:r>
      <w:r w:rsidRPr="00EC24F7">
        <w:rPr>
          <w:rStyle w:val="t286pc"/>
          <w:rFonts w:cs="Arial"/>
        </w:rPr>
        <w:t xml:space="preserve"> excuse itself from these obligations simply because its primary mandate is not housing</w:t>
      </w:r>
      <w:r w:rsidR="003A0BFD" w:rsidRPr="00EC24F7">
        <w:rPr>
          <w:rStyle w:val="t286pc"/>
          <w:rFonts w:cs="Arial"/>
        </w:rPr>
        <w:t>.</w:t>
      </w:r>
      <w:r w:rsidR="00F5062C" w:rsidRPr="00EC24F7">
        <w:rPr>
          <w:rStyle w:val="t286pc"/>
          <w:rFonts w:cs="Arial"/>
        </w:rPr>
        <w:t xml:space="preserve">  </w:t>
      </w:r>
      <w:r w:rsidR="004E6588" w:rsidRPr="00EC24F7">
        <w:rPr>
          <w:rStyle w:val="t286pc"/>
          <w:rFonts w:cs="Arial"/>
        </w:rPr>
        <w:t xml:space="preserve">As the </w:t>
      </w:r>
      <w:r w:rsidR="00FE7432" w:rsidRPr="00EC24F7">
        <w:rPr>
          <w:rStyle w:val="t286pc"/>
          <w:rFonts w:cs="Arial"/>
        </w:rPr>
        <w:t>Constitutional</w:t>
      </w:r>
      <w:r w:rsidR="004E6588" w:rsidRPr="00EC24F7">
        <w:rPr>
          <w:rStyle w:val="t286pc"/>
          <w:rFonts w:cs="Arial"/>
        </w:rPr>
        <w:t xml:space="preserve"> Court has stated</w:t>
      </w:r>
      <w:r w:rsidR="00FE7432" w:rsidRPr="00EC24F7">
        <w:rPr>
          <w:rStyle w:val="t286pc"/>
          <w:rFonts w:cs="Arial"/>
        </w:rPr>
        <w:t xml:space="preserve"> in </w:t>
      </w:r>
      <w:r w:rsidR="00FE7432" w:rsidRPr="00EC24F7">
        <w:rPr>
          <w:rStyle w:val="t286pc"/>
          <w:rFonts w:cs="Arial"/>
          <w:i/>
          <w:iCs/>
        </w:rPr>
        <w:t xml:space="preserve">Grootboom, </w:t>
      </w:r>
      <w:r w:rsidR="00FE7432" w:rsidRPr="00EC24F7">
        <w:rPr>
          <w:rStyle w:val="t286pc"/>
          <w:rFonts w:cs="Arial"/>
        </w:rPr>
        <w:t xml:space="preserve">while the </w:t>
      </w:r>
      <w:r w:rsidR="00FE7432" w:rsidRPr="00EC24F7">
        <w:rPr>
          <w:rFonts w:cs="Arial"/>
          <w:color w:val="242121"/>
          <w:shd w:val="clear" w:color="auto" w:fill="FFFFFF"/>
        </w:rPr>
        <w:t xml:space="preserve">Constitution allocates powers and functions </w:t>
      </w:r>
      <w:r w:rsidR="00FE7432" w:rsidRPr="00EC24F7">
        <w:rPr>
          <w:rFonts w:cs="Arial"/>
          <w:color w:val="242121"/>
          <w:shd w:val="clear" w:color="auto" w:fill="FFFFFF"/>
        </w:rPr>
        <w:lastRenderedPageBreak/>
        <w:t>amongst the different spheres</w:t>
      </w:r>
      <w:r w:rsidR="00FE7432" w:rsidRPr="00EC24F7">
        <w:rPr>
          <w:rFonts w:cs="Arial"/>
          <w:color w:val="242121"/>
          <w:shd w:val="clear" w:color="auto" w:fill="FFFFFF"/>
        </w:rPr>
        <w:t xml:space="preserve"> of government, it also</w:t>
      </w:r>
      <w:r w:rsidR="00FE7432" w:rsidRPr="00EC24F7">
        <w:rPr>
          <w:rFonts w:cs="Arial"/>
          <w:color w:val="242121"/>
          <w:shd w:val="clear" w:color="auto" w:fill="FFFFFF"/>
        </w:rPr>
        <w:t xml:space="preserve"> emphasis</w:t>
      </w:r>
      <w:r w:rsidR="00FE7432" w:rsidRPr="00EC24F7">
        <w:rPr>
          <w:rFonts w:cs="Arial"/>
          <w:color w:val="242121"/>
          <w:shd w:val="clear" w:color="auto" w:fill="FFFFFF"/>
        </w:rPr>
        <w:t>es</w:t>
      </w:r>
      <w:r w:rsidR="00FE7432" w:rsidRPr="00EC24F7">
        <w:rPr>
          <w:rFonts w:cs="Arial"/>
          <w:color w:val="242121"/>
          <w:shd w:val="clear" w:color="auto" w:fill="FFFFFF"/>
        </w:rPr>
        <w:t xml:space="preserve"> their obligation to co-operate with one another in carrying out their constitutional tasks</w:t>
      </w:r>
      <w:r w:rsidR="00FE7432" w:rsidRPr="00EC24F7">
        <w:rPr>
          <w:rFonts w:cs="Arial"/>
          <w:color w:val="242121"/>
          <w:shd w:val="clear" w:color="auto" w:fill="FFFFFF"/>
        </w:rPr>
        <w:t>.</w:t>
      </w:r>
      <w:r w:rsidR="00FE7432" w:rsidRPr="00EC24F7">
        <w:rPr>
          <w:rStyle w:val="FootnoteReference"/>
          <w:rFonts w:cs="Arial"/>
          <w:color w:val="242121"/>
          <w:shd w:val="clear" w:color="auto" w:fill="FFFFFF"/>
        </w:rPr>
        <w:footnoteReference w:id="122"/>
      </w:r>
    </w:p>
    <w:p w14:paraId="66B24B84" w14:textId="36D18A8C" w:rsidR="003E3AD0" w:rsidRPr="00EC24F7" w:rsidRDefault="00F5062C" w:rsidP="00C32757">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Style w:val="t286pc"/>
          <w:rFonts w:cs="Arial"/>
        </w:rPr>
        <w:t xml:space="preserve">There is no dispute that Transnet owns vacant land (the Langa site) that is available to be used to provide emergency housing for the unlawful occupiers and that it is willing to dispose of that land to the City for this very purpose.  </w:t>
      </w:r>
      <w:r w:rsidRPr="00EC24F7">
        <w:rPr>
          <w:rFonts w:cs="Arial"/>
        </w:rPr>
        <w:t xml:space="preserve">The vacant land owned by </w:t>
      </w:r>
      <w:r w:rsidRPr="00EC24F7">
        <w:rPr>
          <w:rFonts w:cs="Arial"/>
        </w:rPr>
        <w:t>Transnet</w:t>
      </w:r>
      <w:r w:rsidRPr="00EC24F7">
        <w:rPr>
          <w:rFonts w:cs="Arial"/>
        </w:rPr>
        <w:t xml:space="preserve"> constitutes part of the </w:t>
      </w:r>
      <w:r w:rsidRPr="0010331F">
        <w:rPr>
          <w:rFonts w:cs="Arial"/>
          <w:i/>
          <w:iCs/>
        </w:rPr>
        <w:t>'available resources'</w:t>
      </w:r>
      <w:r w:rsidRPr="00EC24F7">
        <w:rPr>
          <w:rFonts w:cs="Arial"/>
        </w:rPr>
        <w:t xml:space="preserve"> of the </w:t>
      </w:r>
      <w:r w:rsidRPr="00EC24F7">
        <w:rPr>
          <w:rFonts w:cs="Arial"/>
        </w:rPr>
        <w:t>S</w:t>
      </w:r>
      <w:r w:rsidRPr="00EC24F7">
        <w:rPr>
          <w:rFonts w:cs="Arial"/>
        </w:rPr>
        <w:t xml:space="preserve">tate. </w:t>
      </w:r>
      <w:r w:rsidR="0010331F">
        <w:rPr>
          <w:rFonts w:cs="Arial"/>
        </w:rPr>
        <w:t xml:space="preserve"> </w:t>
      </w:r>
      <w:r w:rsidRPr="00EC24F7">
        <w:rPr>
          <w:rFonts w:cs="Arial"/>
        </w:rPr>
        <w:t xml:space="preserve">It is unreasonable and unconstitutional for </w:t>
      </w:r>
      <w:r w:rsidRPr="00EC24F7">
        <w:rPr>
          <w:rFonts w:cs="Arial"/>
        </w:rPr>
        <w:t>Transnet</w:t>
      </w:r>
      <w:r w:rsidRPr="00EC24F7">
        <w:rPr>
          <w:rFonts w:cs="Arial"/>
        </w:rPr>
        <w:t xml:space="preserve"> to seek an eviction</w:t>
      </w:r>
      <w:r w:rsidRPr="00EC24F7">
        <w:rPr>
          <w:rFonts w:cs="Arial"/>
        </w:rPr>
        <w:t xml:space="preserve"> order</w:t>
      </w:r>
      <w:r w:rsidRPr="00EC24F7">
        <w:rPr>
          <w:rFonts w:cs="Arial"/>
        </w:rPr>
        <w:t xml:space="preserve"> that causes homelessness while withholding </w:t>
      </w:r>
      <w:r w:rsidRPr="00EC24F7">
        <w:rPr>
          <w:rFonts w:cs="Arial"/>
        </w:rPr>
        <w:t xml:space="preserve">available </w:t>
      </w:r>
      <w:r w:rsidRPr="00EC24F7">
        <w:rPr>
          <w:rFonts w:cs="Arial"/>
        </w:rPr>
        <w:t>land that could alleviate that very emergency</w:t>
      </w:r>
      <w:r w:rsidR="00757574" w:rsidRPr="00EC24F7">
        <w:rPr>
          <w:rFonts w:cs="Arial"/>
        </w:rPr>
        <w:t xml:space="preserve">.  Even though </w:t>
      </w:r>
      <w:r w:rsidR="00757574" w:rsidRPr="00EC24F7">
        <w:rPr>
          <w:rFonts w:cs="Arial"/>
        </w:rPr>
        <w:t>Transnet</w:t>
      </w:r>
      <w:r w:rsidR="00757574" w:rsidRPr="00EC24F7">
        <w:rPr>
          <w:rFonts w:cs="Arial"/>
        </w:rPr>
        <w:t xml:space="preserve"> </w:t>
      </w:r>
      <w:r w:rsidR="00DF7E23" w:rsidRPr="00EC24F7">
        <w:rPr>
          <w:rFonts w:cs="Arial"/>
        </w:rPr>
        <w:t>is not the housing authority,</w:t>
      </w:r>
      <w:r w:rsidR="00CA4B73" w:rsidRPr="00EC24F7">
        <w:rPr>
          <w:rFonts w:cs="Arial"/>
        </w:rPr>
        <w:t xml:space="preserve"> the fact that has land available to </w:t>
      </w:r>
      <w:r w:rsidR="00FC65FC" w:rsidRPr="00EC24F7">
        <w:rPr>
          <w:rFonts w:cs="Arial"/>
        </w:rPr>
        <w:t>be used to prevent the unlawful occupiers being rendered homeless is a factor which this Court must take into account</w:t>
      </w:r>
      <w:r w:rsidR="009C3DBF" w:rsidRPr="00EC24F7">
        <w:rPr>
          <w:rFonts w:cs="Arial"/>
        </w:rPr>
        <w:t xml:space="preserve"> in determining what would be a just and equitable order.  </w:t>
      </w:r>
    </w:p>
    <w:p w14:paraId="292028B9" w14:textId="478A09F6" w:rsidR="00776BAD" w:rsidRPr="00EC24F7" w:rsidRDefault="00776BAD" w:rsidP="00776BAD">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This is particularly so in circumstances where the unlawful occupation commenced on Transnet’s version as far back as 16 years ago,</w:t>
      </w:r>
      <w:r w:rsidRPr="00EC24F7">
        <w:rPr>
          <w:rStyle w:val="FootnoteReference"/>
          <w:rFonts w:cs="Arial"/>
          <w:lang w:val="en-GB"/>
        </w:rPr>
        <w:footnoteReference w:id="123"/>
      </w:r>
      <w:r w:rsidRPr="00EC24F7">
        <w:rPr>
          <w:rFonts w:cs="Arial"/>
          <w:lang w:val="en-GB"/>
        </w:rPr>
        <w:t xml:space="preserve"> and where as a property owner Transnet </w:t>
      </w:r>
      <w:r w:rsidRPr="00EC24F7">
        <w:rPr>
          <w:rFonts w:cs="Arial"/>
          <w:iCs/>
        </w:rPr>
        <w:t>bears the primary responsibility to take reasonable steps to protect its property from unlawful occupation.</w:t>
      </w:r>
      <w:r w:rsidRPr="00EC24F7">
        <w:rPr>
          <w:rStyle w:val="FootnoteReference"/>
          <w:rFonts w:cs="Arial"/>
          <w:iCs/>
        </w:rPr>
        <w:footnoteReference w:id="124"/>
      </w:r>
      <w:r w:rsidRPr="00EC24F7">
        <w:rPr>
          <w:rFonts w:cs="Arial"/>
          <w:iCs/>
        </w:rPr>
        <w:t xml:space="preserve">  </w:t>
      </w:r>
      <w:r w:rsidRPr="00EC24F7">
        <w:rPr>
          <w:rFonts w:cs="Arial"/>
          <w:lang w:val="en-GB"/>
        </w:rPr>
        <w:t xml:space="preserve">Transnet did not </w:t>
      </w:r>
      <w:r w:rsidRPr="00EC24F7">
        <w:rPr>
          <w:rFonts w:cs="Arial"/>
          <w:iCs/>
        </w:rPr>
        <w:t>take reasonable steps to protect its property from unlawful occupation</w:t>
      </w:r>
      <w:r w:rsidRPr="00EC24F7">
        <w:rPr>
          <w:rFonts w:cs="Arial"/>
          <w:lang w:val="en-GB"/>
        </w:rPr>
        <w:t xml:space="preserve">, and now seeks, notwithstanding that it is an organ of State, to foist the obligation to provide emergency accommodation solely upon the City. </w:t>
      </w:r>
    </w:p>
    <w:p w14:paraId="11079A2B" w14:textId="62C0CA07" w:rsidR="00C32757" w:rsidRPr="00EC24F7" w:rsidRDefault="009C3DBF" w:rsidP="00C32757">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rPr>
        <w:t xml:space="preserve">Moreover, irrespective of Transnet’s core functions, as an organ of State it has a </w:t>
      </w:r>
      <w:r w:rsidR="009B4014" w:rsidRPr="00EC24F7">
        <w:rPr>
          <w:rFonts w:cs="Arial"/>
        </w:rPr>
        <w:t xml:space="preserve">it has a duty to </w:t>
      </w:r>
      <w:r w:rsidR="009B4014" w:rsidRPr="00EC24F7">
        <w:rPr>
          <w:rFonts w:cs="Arial"/>
        </w:rPr>
        <w:t>co-operate</w:t>
      </w:r>
      <w:r w:rsidR="009B4014" w:rsidRPr="00EC24F7">
        <w:rPr>
          <w:rFonts w:cs="Arial"/>
        </w:rPr>
        <w:t xml:space="preserve"> with the City to find a solution</w:t>
      </w:r>
      <w:r w:rsidR="009B4014" w:rsidRPr="00EC24F7">
        <w:rPr>
          <w:rFonts w:cs="Arial"/>
        </w:rPr>
        <w:t xml:space="preserve"> to the issue of the </w:t>
      </w:r>
      <w:r w:rsidR="009B4014" w:rsidRPr="00EC24F7">
        <w:rPr>
          <w:rFonts w:cs="Arial"/>
        </w:rPr>
        <w:lastRenderedPageBreak/>
        <w:t>potential homelessness of the unlawful occupiers.</w:t>
      </w:r>
      <w:r w:rsidR="00AD5D44">
        <w:rPr>
          <w:rFonts w:cs="Arial"/>
        </w:rPr>
        <w:t xml:space="preserve"> </w:t>
      </w:r>
      <w:r w:rsidR="009B4014" w:rsidRPr="00EC24F7">
        <w:rPr>
          <w:rFonts w:cs="Arial"/>
        </w:rPr>
        <w:t xml:space="preserve"> In this context Transn</w:t>
      </w:r>
      <w:r w:rsidR="007A4181" w:rsidRPr="00EC24F7">
        <w:rPr>
          <w:rFonts w:cs="Arial"/>
        </w:rPr>
        <w:t>e</w:t>
      </w:r>
      <w:r w:rsidR="009B4014" w:rsidRPr="00EC24F7">
        <w:rPr>
          <w:rFonts w:cs="Arial"/>
        </w:rPr>
        <w:t xml:space="preserve">t’s </w:t>
      </w:r>
      <w:r w:rsidR="00DF7E23" w:rsidRPr="00EC24F7">
        <w:rPr>
          <w:rFonts w:cs="Arial"/>
        </w:rPr>
        <w:t xml:space="preserve">own available land must be factored into the </w:t>
      </w:r>
      <w:r w:rsidR="009B4014" w:rsidRPr="00AD5D44">
        <w:rPr>
          <w:rFonts w:cs="Arial"/>
          <w:i/>
          <w:iCs/>
        </w:rPr>
        <w:t>‘</w:t>
      </w:r>
      <w:r w:rsidR="00DF7E23" w:rsidRPr="00AD5D44">
        <w:rPr>
          <w:rFonts w:cs="Arial"/>
          <w:i/>
          <w:iCs/>
        </w:rPr>
        <w:t>available resources</w:t>
      </w:r>
      <w:r w:rsidR="009B4014" w:rsidRPr="00AD5D44">
        <w:rPr>
          <w:rFonts w:cs="Arial"/>
          <w:i/>
          <w:iCs/>
        </w:rPr>
        <w:t>’</w:t>
      </w:r>
      <w:r w:rsidR="009B4014" w:rsidRPr="00EC24F7">
        <w:rPr>
          <w:rFonts w:cs="Arial"/>
        </w:rPr>
        <w:t xml:space="preserve"> that </w:t>
      </w:r>
      <w:r w:rsidR="00DF7E23" w:rsidRPr="00EC24F7">
        <w:rPr>
          <w:rFonts w:cs="Arial"/>
        </w:rPr>
        <w:t xml:space="preserve">the </w:t>
      </w:r>
      <w:r w:rsidR="009B4014" w:rsidRPr="00EC24F7">
        <w:rPr>
          <w:rFonts w:cs="Arial"/>
        </w:rPr>
        <w:t>S</w:t>
      </w:r>
      <w:r w:rsidR="00DF7E23" w:rsidRPr="00EC24F7">
        <w:rPr>
          <w:rFonts w:cs="Arial"/>
        </w:rPr>
        <w:t xml:space="preserve">tate </w:t>
      </w:r>
      <w:r w:rsidR="009B4014" w:rsidRPr="00EC24F7">
        <w:rPr>
          <w:rFonts w:cs="Arial"/>
        </w:rPr>
        <w:t>is required to</w:t>
      </w:r>
      <w:r w:rsidR="00DF7E23" w:rsidRPr="00EC24F7">
        <w:rPr>
          <w:rFonts w:cs="Arial"/>
        </w:rPr>
        <w:t xml:space="preserve"> use to </w:t>
      </w:r>
      <w:r w:rsidR="00F67A3F">
        <w:rPr>
          <w:rFonts w:cs="Arial"/>
        </w:rPr>
        <w:t>forestall homelessness</w:t>
      </w:r>
      <w:r w:rsidR="00EC1217">
        <w:rPr>
          <w:rFonts w:cs="Arial"/>
        </w:rPr>
        <w:t xml:space="preserve"> resulting from an eviction</w:t>
      </w:r>
      <w:r w:rsidR="00C32757" w:rsidRPr="00EC24F7">
        <w:rPr>
          <w:rFonts w:cs="Arial"/>
        </w:rPr>
        <w:t>.</w:t>
      </w:r>
    </w:p>
    <w:p w14:paraId="206DCB2F" w14:textId="570A880B" w:rsidR="00C638FC" w:rsidRPr="00EC24F7" w:rsidRDefault="004D1FCE" w:rsidP="00345B4F">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rPr>
        <w:t xml:space="preserve">In determining whether an eviction is just and equitable under PIE, the </w:t>
      </w:r>
      <w:r w:rsidRPr="00EC24F7">
        <w:rPr>
          <w:rFonts w:cs="Arial"/>
        </w:rPr>
        <w:t>C</w:t>
      </w:r>
      <w:r w:rsidRPr="00EC24F7">
        <w:rPr>
          <w:rFonts w:cs="Arial"/>
        </w:rPr>
        <w:t xml:space="preserve">ourt must consider the </w:t>
      </w:r>
      <w:r w:rsidRPr="00EC1217">
        <w:rPr>
          <w:rFonts w:cs="Arial"/>
          <w:i/>
          <w:iCs/>
        </w:rPr>
        <w:t>'available resources'</w:t>
      </w:r>
      <w:r w:rsidRPr="00EC24F7">
        <w:rPr>
          <w:rFonts w:cs="Arial"/>
        </w:rPr>
        <w:t xml:space="preserve"> of the State</w:t>
      </w:r>
      <w:r w:rsidR="00EC1217">
        <w:rPr>
          <w:rFonts w:cs="Arial"/>
        </w:rPr>
        <w:t xml:space="preserve">. </w:t>
      </w:r>
      <w:r w:rsidRPr="00EC24F7">
        <w:rPr>
          <w:rFonts w:cs="Arial"/>
        </w:rPr>
        <w:t xml:space="preserve"> </w:t>
      </w:r>
      <w:r w:rsidR="00EC1217">
        <w:rPr>
          <w:rFonts w:cs="Arial"/>
        </w:rPr>
        <w:t>T</w:t>
      </w:r>
      <w:r w:rsidRPr="00EC24F7">
        <w:rPr>
          <w:rFonts w:cs="Arial"/>
        </w:rPr>
        <w:t>hese resources include land held by Transnet. Transnet’s attempt to insulate itself from the duty to provide emergency housing</w:t>
      </w:r>
      <w:r w:rsidRPr="00EC24F7">
        <w:rPr>
          <w:rFonts w:cs="Arial"/>
        </w:rPr>
        <w:t xml:space="preserve"> </w:t>
      </w:r>
      <w:r w:rsidRPr="00EC24F7">
        <w:rPr>
          <w:rFonts w:cs="Arial"/>
        </w:rPr>
        <w:t xml:space="preserve">despite owning land that could facilitate </w:t>
      </w:r>
      <w:r w:rsidR="00EC1217">
        <w:rPr>
          <w:rFonts w:cs="Arial"/>
        </w:rPr>
        <w:t>this</w:t>
      </w:r>
      <w:r w:rsidRPr="00EC24F7">
        <w:rPr>
          <w:rFonts w:cs="Arial"/>
        </w:rPr>
        <w:t xml:space="preserve"> </w:t>
      </w:r>
      <w:r w:rsidRPr="00EC24F7">
        <w:rPr>
          <w:rFonts w:cs="Arial"/>
        </w:rPr>
        <w:t xml:space="preserve">ignores the holistic approach mandated by </w:t>
      </w:r>
      <w:r w:rsidRPr="00EC24F7">
        <w:rPr>
          <w:rStyle w:val="Emphasis"/>
          <w:rFonts w:cs="Arial"/>
        </w:rPr>
        <w:t>Grootboom</w:t>
      </w:r>
      <w:r w:rsidRPr="00EC24F7">
        <w:rPr>
          <w:rStyle w:val="Emphasis"/>
          <w:rFonts w:cs="Arial"/>
        </w:rPr>
        <w:t xml:space="preserve">. </w:t>
      </w:r>
      <w:r w:rsidR="00A71CE3" w:rsidRPr="00EC24F7">
        <w:rPr>
          <w:rStyle w:val="Emphasis"/>
          <w:rFonts w:cs="Arial"/>
        </w:rPr>
        <w:t xml:space="preserve"> </w:t>
      </w:r>
      <w:r w:rsidR="000431CE" w:rsidRPr="00EC24F7">
        <w:rPr>
          <w:rStyle w:val="Emphasis"/>
          <w:rFonts w:cs="Arial"/>
          <w:i w:val="0"/>
          <w:iCs w:val="0"/>
        </w:rPr>
        <w:t xml:space="preserve">Based on </w:t>
      </w:r>
      <w:r w:rsidR="000431CE" w:rsidRPr="00EC24F7">
        <w:rPr>
          <w:rFonts w:cs="Arial"/>
        </w:rPr>
        <w:t>t</w:t>
      </w:r>
      <w:r w:rsidR="00A71CE3" w:rsidRPr="00EC24F7">
        <w:rPr>
          <w:rFonts w:cs="Arial"/>
        </w:rPr>
        <w:t xml:space="preserve">he principles established in </w:t>
      </w:r>
      <w:r w:rsidR="00A71CE3" w:rsidRPr="00EC24F7">
        <w:rPr>
          <w:rStyle w:val="Emphasis"/>
          <w:rFonts w:cs="Arial"/>
        </w:rPr>
        <w:t>Grootboom</w:t>
      </w:r>
      <w:r w:rsidR="00A71CE3" w:rsidRPr="00EC24F7">
        <w:rPr>
          <w:rFonts w:cs="Arial"/>
        </w:rPr>
        <w:t>, it is submitted that the State must function as a single, coordinated entity. Transnet, as an organ of State, cannot bifurcate its identity to seek the vindication of its property rights while simultaneously disavowing its positive constitutional obligations. Where an eviction sought by an organ of State will result in homelessness, and that same entity holds land suitable for emergency relief, it is legally untenable to suggest it bears no obligation to consider its own resources in the just and equitable enquiry</w:t>
      </w:r>
      <w:r w:rsidR="00C638FC" w:rsidRPr="00EC24F7">
        <w:rPr>
          <w:rFonts w:cs="Arial"/>
          <w:lang w:val="en-GB"/>
        </w:rPr>
        <w:t xml:space="preserve">, particularly so in circumstances where </w:t>
      </w:r>
      <w:r w:rsidR="00345B4F" w:rsidRPr="00EC24F7">
        <w:rPr>
          <w:rFonts w:cs="Arial"/>
          <w:lang w:val="en-GB"/>
        </w:rPr>
        <w:t>Transnet</w:t>
      </w:r>
      <w:r w:rsidR="00C638FC" w:rsidRPr="00EC24F7">
        <w:rPr>
          <w:rFonts w:cs="Arial"/>
          <w:lang w:val="en-GB"/>
        </w:rPr>
        <w:t xml:space="preserve"> clearly indicates that it has no difficulty in disposing of </w:t>
      </w:r>
      <w:r w:rsidR="00776BAD" w:rsidRPr="00EC24F7">
        <w:rPr>
          <w:rFonts w:cs="Arial"/>
          <w:lang w:val="en-GB"/>
        </w:rPr>
        <w:t>the Langa property to the City for purposes of providing emergency housing to the unlawful occupiers</w:t>
      </w:r>
      <w:r w:rsidR="00C638FC" w:rsidRPr="00EC24F7">
        <w:rPr>
          <w:rFonts w:cs="Arial"/>
          <w:lang w:val="en-GB"/>
        </w:rPr>
        <w:t xml:space="preserve">. </w:t>
      </w:r>
      <w:r w:rsidR="00776BAD" w:rsidRPr="00EC24F7">
        <w:rPr>
          <w:rFonts w:cs="Arial"/>
          <w:lang w:val="en-GB"/>
        </w:rPr>
        <w:t xml:space="preserve"> </w:t>
      </w:r>
    </w:p>
    <w:p w14:paraId="13BFE90C" w14:textId="63A9FCEA" w:rsidR="00A849D4" w:rsidRPr="00EC24F7" w:rsidRDefault="00A849D4" w:rsidP="00A849D4">
      <w:pPr>
        <w:pStyle w:val="Heading2"/>
        <w:rPr>
          <w:rFonts w:cs="Arial"/>
          <w:b w:val="0"/>
          <w:bCs/>
          <w:szCs w:val="24"/>
          <w:lang w:val="en-GB"/>
        </w:rPr>
      </w:pPr>
      <w:bookmarkStart w:id="13" w:name="_Toc225751546"/>
      <w:bookmarkStart w:id="14" w:name="_Toc226040127"/>
      <w:r w:rsidRPr="00EC24F7">
        <w:rPr>
          <w:rFonts w:cs="Arial"/>
          <w:bCs/>
          <w:szCs w:val="24"/>
          <w:lang w:val="en-GB"/>
        </w:rPr>
        <w:t>No suitable City land for emergency housing</w:t>
      </w:r>
      <w:bookmarkEnd w:id="13"/>
      <w:bookmarkEnd w:id="14"/>
      <w:r w:rsidRPr="00EC24F7">
        <w:rPr>
          <w:rFonts w:cs="Arial"/>
          <w:bCs/>
          <w:szCs w:val="24"/>
          <w:lang w:val="en-GB"/>
        </w:rPr>
        <w:t xml:space="preserve">  </w:t>
      </w:r>
    </w:p>
    <w:p w14:paraId="445C3C5D" w14:textId="33009C66" w:rsidR="00A849D4" w:rsidRPr="00EC24F7" w:rsidRDefault="001B4EDB" w:rsidP="00A849D4">
      <w:pPr>
        <w:pStyle w:val="ListParagraph"/>
        <w:numPr>
          <w:ilvl w:val="0"/>
          <w:numId w:val="2"/>
        </w:numPr>
        <w:spacing w:before="120" w:beforeAutospacing="0" w:after="360" w:afterAutospacing="0" w:line="480" w:lineRule="auto"/>
        <w:jc w:val="both"/>
        <w:rPr>
          <w:rFonts w:cs="Arial"/>
        </w:rPr>
      </w:pPr>
      <w:r w:rsidRPr="00EC24F7">
        <w:rPr>
          <w:rFonts w:cs="Arial"/>
        </w:rPr>
        <w:t xml:space="preserve">It is not in dispute that the </w:t>
      </w:r>
      <w:r w:rsidR="00A849D4" w:rsidRPr="00EC24F7">
        <w:rPr>
          <w:rFonts w:cs="Arial"/>
        </w:rPr>
        <w:t xml:space="preserve">City </w:t>
      </w:r>
      <w:r w:rsidR="009B00C3" w:rsidRPr="00EC24F7">
        <w:rPr>
          <w:rFonts w:cs="Arial"/>
        </w:rPr>
        <w:t>does not have</w:t>
      </w:r>
      <w:r w:rsidR="00A849D4" w:rsidRPr="00EC24F7">
        <w:rPr>
          <w:rFonts w:cs="Arial"/>
        </w:rPr>
        <w:t xml:space="preserve"> </w:t>
      </w:r>
      <w:r w:rsidR="000525B3" w:rsidRPr="00EC24F7">
        <w:rPr>
          <w:rFonts w:cs="Arial"/>
        </w:rPr>
        <w:t xml:space="preserve">sufficient </w:t>
      </w:r>
      <w:r w:rsidR="00A849D4" w:rsidRPr="00EC24F7">
        <w:rPr>
          <w:rFonts w:cs="Arial"/>
        </w:rPr>
        <w:t>suitable land available for emergency housing</w:t>
      </w:r>
      <w:r w:rsidR="000525B3" w:rsidRPr="00EC24F7">
        <w:rPr>
          <w:rFonts w:cs="Arial"/>
        </w:rPr>
        <w:t xml:space="preserve"> for all of the unlawful occupiers</w:t>
      </w:r>
      <w:r w:rsidR="00A849D4" w:rsidRPr="00EC24F7">
        <w:rPr>
          <w:rFonts w:cs="Arial"/>
        </w:rPr>
        <w:t>.</w:t>
      </w:r>
      <w:r w:rsidR="00A849D4" w:rsidRPr="00EC24F7">
        <w:rPr>
          <w:rStyle w:val="FootnoteReference"/>
          <w:rFonts w:cs="Arial"/>
        </w:rPr>
        <w:footnoteReference w:id="125"/>
      </w:r>
      <w:r w:rsidR="00A849D4" w:rsidRPr="00EC24F7">
        <w:rPr>
          <w:rFonts w:cs="Arial"/>
        </w:rPr>
        <w:t xml:space="preserve"> </w:t>
      </w:r>
    </w:p>
    <w:p w14:paraId="295B1A37" w14:textId="77777777" w:rsidR="00395A65" w:rsidRPr="00EC24F7" w:rsidRDefault="00A849D4" w:rsidP="00E36825">
      <w:pPr>
        <w:pStyle w:val="ListParagraph"/>
        <w:numPr>
          <w:ilvl w:val="0"/>
          <w:numId w:val="2"/>
        </w:numPr>
        <w:spacing w:before="120" w:beforeAutospacing="0" w:after="360" w:afterAutospacing="0" w:line="480" w:lineRule="auto"/>
        <w:jc w:val="both"/>
        <w:rPr>
          <w:rFonts w:cs="Arial"/>
        </w:rPr>
      </w:pPr>
      <w:r w:rsidRPr="00EC24F7">
        <w:rPr>
          <w:rFonts w:cs="Arial"/>
        </w:rPr>
        <w:lastRenderedPageBreak/>
        <w:t>Transnet</w:t>
      </w:r>
      <w:r w:rsidR="00050452" w:rsidRPr="00EC24F7">
        <w:rPr>
          <w:rFonts w:cs="Arial"/>
        </w:rPr>
        <w:t>,</w:t>
      </w:r>
      <w:r w:rsidRPr="00EC24F7">
        <w:rPr>
          <w:rFonts w:cs="Arial"/>
        </w:rPr>
        <w:t xml:space="preserve"> for the first time in</w:t>
      </w:r>
      <w:r w:rsidR="001F41A8" w:rsidRPr="00EC24F7">
        <w:rPr>
          <w:rFonts w:cs="Arial"/>
        </w:rPr>
        <w:t xml:space="preserve"> </w:t>
      </w:r>
      <w:r w:rsidRPr="00EC24F7">
        <w:rPr>
          <w:rFonts w:cs="Arial"/>
        </w:rPr>
        <w:t xml:space="preserve">reply, </w:t>
      </w:r>
      <w:r w:rsidR="001F41A8" w:rsidRPr="00EC24F7">
        <w:rPr>
          <w:rFonts w:cs="Arial"/>
        </w:rPr>
        <w:t xml:space="preserve">seeks to </w:t>
      </w:r>
      <w:r w:rsidRPr="00EC24F7">
        <w:rPr>
          <w:rFonts w:cs="Arial"/>
        </w:rPr>
        <w:t>identif</w:t>
      </w:r>
      <w:r w:rsidR="001F41A8" w:rsidRPr="00EC24F7">
        <w:rPr>
          <w:rFonts w:cs="Arial"/>
        </w:rPr>
        <w:t>y</w:t>
      </w:r>
      <w:r w:rsidRPr="00EC24F7">
        <w:rPr>
          <w:rFonts w:cs="Arial"/>
        </w:rPr>
        <w:t xml:space="preserve"> five </w:t>
      </w:r>
      <w:r w:rsidR="001F41A8" w:rsidRPr="00EC24F7">
        <w:rPr>
          <w:rFonts w:cs="Arial"/>
        </w:rPr>
        <w:t xml:space="preserve">City owned </w:t>
      </w:r>
      <w:r w:rsidRPr="00EC24F7">
        <w:rPr>
          <w:rFonts w:cs="Arial"/>
        </w:rPr>
        <w:t>properties</w:t>
      </w:r>
      <w:r w:rsidR="00317348" w:rsidRPr="00EC24F7">
        <w:rPr>
          <w:rFonts w:cs="Arial"/>
        </w:rPr>
        <w:t xml:space="preserve"> that</w:t>
      </w:r>
      <w:r w:rsidRPr="00EC24F7">
        <w:rPr>
          <w:rFonts w:cs="Arial"/>
        </w:rPr>
        <w:t xml:space="preserve"> </w:t>
      </w:r>
      <w:r w:rsidR="001F41A8" w:rsidRPr="00EC24F7">
        <w:rPr>
          <w:rFonts w:cs="Arial"/>
        </w:rPr>
        <w:t xml:space="preserve">it </w:t>
      </w:r>
      <w:r w:rsidR="00317348" w:rsidRPr="00EC24F7">
        <w:rPr>
          <w:rFonts w:cs="Arial"/>
        </w:rPr>
        <w:t xml:space="preserve">(incorrectly) </w:t>
      </w:r>
      <w:r w:rsidR="001F41A8" w:rsidRPr="00EC24F7">
        <w:rPr>
          <w:rFonts w:cs="Arial"/>
        </w:rPr>
        <w:t xml:space="preserve">alleges </w:t>
      </w:r>
      <w:r w:rsidRPr="00EC24F7">
        <w:rPr>
          <w:rFonts w:cs="Arial"/>
        </w:rPr>
        <w:t>can be used for emergency housing.</w:t>
      </w:r>
      <w:r w:rsidRPr="00EC24F7">
        <w:rPr>
          <w:rStyle w:val="FootnoteReference"/>
          <w:rFonts w:cs="Arial"/>
        </w:rPr>
        <w:footnoteReference w:id="126"/>
      </w:r>
      <w:r w:rsidRPr="00EC24F7">
        <w:rPr>
          <w:rFonts w:cs="Arial"/>
        </w:rPr>
        <w:t xml:space="preserve"> </w:t>
      </w:r>
      <w:r w:rsidR="001F41A8" w:rsidRPr="00EC24F7">
        <w:rPr>
          <w:rFonts w:cs="Arial"/>
        </w:rPr>
        <w:t xml:space="preserve"> </w:t>
      </w:r>
      <w:r w:rsidR="00317348" w:rsidRPr="00EC24F7">
        <w:rPr>
          <w:rFonts w:cs="Arial"/>
        </w:rPr>
        <w:t>F</w:t>
      </w:r>
      <w:r w:rsidR="001F41A8" w:rsidRPr="00EC24F7">
        <w:rPr>
          <w:rFonts w:cs="Arial"/>
        </w:rPr>
        <w:t>or the first time in its heads</w:t>
      </w:r>
      <w:r w:rsidR="001F41A8" w:rsidRPr="00EC24F7">
        <w:rPr>
          <w:rFonts w:cs="Arial"/>
        </w:rPr>
        <w:t xml:space="preserve"> of argument</w:t>
      </w:r>
      <w:r w:rsidR="00317348" w:rsidRPr="00EC24F7">
        <w:rPr>
          <w:rFonts w:cs="Arial"/>
        </w:rPr>
        <w:t>,</w:t>
      </w:r>
      <w:r w:rsidR="001F41A8" w:rsidRPr="00EC24F7">
        <w:rPr>
          <w:rFonts w:cs="Arial"/>
        </w:rPr>
        <w:t xml:space="preserve"> </w:t>
      </w:r>
      <w:r w:rsidR="00317348" w:rsidRPr="00EC24F7">
        <w:rPr>
          <w:rFonts w:cs="Arial"/>
        </w:rPr>
        <w:t xml:space="preserve">Transnet </w:t>
      </w:r>
      <w:r w:rsidR="001F41A8" w:rsidRPr="00EC24F7">
        <w:rPr>
          <w:rFonts w:cs="Arial"/>
        </w:rPr>
        <w:t>contends that</w:t>
      </w:r>
      <w:r w:rsidR="00FA646E" w:rsidRPr="00EC24F7">
        <w:rPr>
          <w:rFonts w:cs="Arial"/>
        </w:rPr>
        <w:t xml:space="preserve"> the City has not addressed </w:t>
      </w:r>
      <w:r w:rsidR="00FA646E" w:rsidRPr="00EC24F7">
        <w:rPr>
          <w:rFonts w:cs="Arial"/>
          <w:i/>
          <w:iCs/>
        </w:rPr>
        <w:t xml:space="preserve">‘why </w:t>
      </w:r>
      <w:r w:rsidR="00FA646E" w:rsidRPr="00EC24F7">
        <w:rPr>
          <w:rFonts w:eastAsiaTheme="minorHAnsi" w:cs="Arial"/>
          <w:i/>
          <w:iCs/>
          <w:lang w:val="en-GB" w:eastAsia="en-US"/>
        </w:rPr>
        <w:t>it cannot offer temporary emergency accommodation</w:t>
      </w:r>
      <w:r w:rsidR="00FA646E" w:rsidRPr="00EC24F7">
        <w:rPr>
          <w:rFonts w:eastAsiaTheme="minorHAnsi" w:cs="Arial"/>
          <w:i/>
          <w:iCs/>
          <w:lang w:val="en-GB" w:eastAsia="en-US"/>
        </w:rPr>
        <w:t xml:space="preserve"> </w:t>
      </w:r>
      <w:r w:rsidR="00FA646E" w:rsidRPr="00EC24F7">
        <w:rPr>
          <w:rFonts w:eastAsiaTheme="minorHAnsi" w:cs="Arial"/>
          <w:i/>
          <w:iCs/>
          <w:lang w:val="en-GB" w:eastAsia="en-US"/>
        </w:rPr>
        <w:t>at a tented site in the City with basic services installed until a more permanent</w:t>
      </w:r>
      <w:r w:rsidR="00FA646E" w:rsidRPr="00EC24F7">
        <w:rPr>
          <w:rFonts w:eastAsiaTheme="minorHAnsi" w:cs="Arial"/>
          <w:i/>
          <w:iCs/>
          <w:lang w:val="en-GB" w:eastAsia="en-US"/>
        </w:rPr>
        <w:t xml:space="preserve"> </w:t>
      </w:r>
      <w:r w:rsidR="00FA646E" w:rsidRPr="00EC24F7">
        <w:rPr>
          <w:rFonts w:eastAsiaTheme="minorHAnsi" w:cs="Arial"/>
          <w:i/>
          <w:iCs/>
          <w:lang w:val="en-GB" w:eastAsia="en-US"/>
        </w:rPr>
        <w:t xml:space="preserve">solution is found. There are a number of properties in the </w:t>
      </w:r>
      <w:r w:rsidR="00A159ED" w:rsidRPr="00EC24F7">
        <w:rPr>
          <w:rFonts w:eastAsiaTheme="minorHAnsi" w:cs="Arial"/>
          <w:i/>
          <w:iCs/>
          <w:lang w:val="en-GB" w:eastAsia="en-US"/>
        </w:rPr>
        <w:t>c</w:t>
      </w:r>
      <w:r w:rsidR="00FA646E" w:rsidRPr="00EC24F7">
        <w:rPr>
          <w:rFonts w:eastAsiaTheme="minorHAnsi" w:cs="Arial"/>
          <w:i/>
          <w:iCs/>
          <w:lang w:val="en-GB" w:eastAsia="en-US"/>
        </w:rPr>
        <w:t>ity</w:t>
      </w:r>
      <w:r w:rsidR="00A159ED" w:rsidRPr="00EC24F7">
        <w:rPr>
          <w:rFonts w:eastAsiaTheme="minorHAnsi" w:cs="Arial"/>
          <w:i/>
          <w:iCs/>
          <w:lang w:val="en-GB" w:eastAsia="en-US"/>
        </w:rPr>
        <w:t xml:space="preserve"> </w:t>
      </w:r>
      <w:r w:rsidR="00A159ED" w:rsidRPr="00EC24F7">
        <w:rPr>
          <w:rFonts w:eastAsiaTheme="minorHAnsi" w:cs="Arial"/>
          <w:lang w:val="en-GB" w:eastAsia="en-US"/>
        </w:rPr>
        <w:t>(sic)</w:t>
      </w:r>
      <w:r w:rsidR="00FA646E" w:rsidRPr="00EC24F7">
        <w:rPr>
          <w:rFonts w:eastAsiaTheme="minorHAnsi" w:cs="Arial"/>
          <w:i/>
          <w:iCs/>
          <w:lang w:val="en-GB" w:eastAsia="en-US"/>
        </w:rPr>
        <w:t xml:space="preserve"> which the City is</w:t>
      </w:r>
      <w:r w:rsidR="00FA646E" w:rsidRPr="00EC24F7">
        <w:rPr>
          <w:rFonts w:eastAsiaTheme="minorHAnsi" w:cs="Arial"/>
          <w:i/>
          <w:iCs/>
          <w:lang w:val="en-GB" w:eastAsia="en-US"/>
        </w:rPr>
        <w:t xml:space="preserve"> </w:t>
      </w:r>
      <w:r w:rsidR="00FA646E" w:rsidRPr="00EC24F7">
        <w:rPr>
          <w:rFonts w:eastAsiaTheme="minorHAnsi" w:cs="Arial"/>
          <w:i/>
          <w:iCs/>
          <w:lang w:val="en-GB" w:eastAsia="en-US"/>
        </w:rPr>
        <w:t>disposing of on auction. No explanation is tendered by the City as to why one</w:t>
      </w:r>
      <w:r w:rsidR="00FA646E" w:rsidRPr="00EC24F7">
        <w:rPr>
          <w:rFonts w:eastAsiaTheme="minorHAnsi" w:cs="Arial"/>
          <w:i/>
          <w:iCs/>
          <w:lang w:val="en-GB" w:eastAsia="en-US"/>
        </w:rPr>
        <w:t xml:space="preserve"> </w:t>
      </w:r>
      <w:r w:rsidR="00FA646E" w:rsidRPr="00EC24F7">
        <w:rPr>
          <w:rFonts w:eastAsiaTheme="minorHAnsi" w:cs="Arial"/>
          <w:i/>
          <w:iCs/>
          <w:lang w:val="en-GB" w:eastAsia="en-US"/>
        </w:rPr>
        <w:t>or more of those properties cannot be utilised pending the sale and transfer</w:t>
      </w:r>
      <w:r w:rsidR="00196B3F" w:rsidRPr="00EC24F7">
        <w:rPr>
          <w:rFonts w:eastAsiaTheme="minorHAnsi" w:cs="Arial"/>
          <w:i/>
          <w:iCs/>
          <w:lang w:val="en-GB" w:eastAsia="en-US"/>
        </w:rPr>
        <w:t>’.</w:t>
      </w:r>
      <w:r w:rsidR="001F41A8" w:rsidRPr="00EC24F7">
        <w:rPr>
          <w:rStyle w:val="FootnoteReference"/>
          <w:rFonts w:cs="Arial"/>
        </w:rPr>
        <w:footnoteReference w:id="127"/>
      </w:r>
      <w:r w:rsidR="00196B3F" w:rsidRPr="00EC24F7">
        <w:rPr>
          <w:rFonts w:eastAsiaTheme="minorHAnsi" w:cs="Arial"/>
          <w:i/>
          <w:iCs/>
          <w:lang w:val="en-GB" w:eastAsia="en-US"/>
        </w:rPr>
        <w:t xml:space="preserve">  </w:t>
      </w:r>
    </w:p>
    <w:p w14:paraId="3BA2041D" w14:textId="203DC1F7" w:rsidR="001F41A8" w:rsidRPr="00EC24F7" w:rsidRDefault="00EB617F" w:rsidP="00E36825">
      <w:pPr>
        <w:pStyle w:val="ListParagraph"/>
        <w:numPr>
          <w:ilvl w:val="0"/>
          <w:numId w:val="2"/>
        </w:numPr>
        <w:spacing w:before="120" w:beforeAutospacing="0" w:after="360" w:afterAutospacing="0" w:line="480" w:lineRule="auto"/>
        <w:jc w:val="both"/>
        <w:rPr>
          <w:rFonts w:cs="Arial"/>
        </w:rPr>
      </w:pPr>
      <w:r w:rsidRPr="00EC24F7">
        <w:rPr>
          <w:rFonts w:eastAsiaTheme="minorHAnsi" w:cs="Arial"/>
          <w:lang w:val="en-GB" w:eastAsia="en-US"/>
        </w:rPr>
        <w:t>Quite aside from the fact that Transnet’s contentions</w:t>
      </w:r>
      <w:r w:rsidR="00395A65" w:rsidRPr="00EC24F7">
        <w:rPr>
          <w:rFonts w:eastAsiaTheme="minorHAnsi" w:cs="Arial"/>
          <w:lang w:val="en-GB" w:eastAsia="en-US"/>
        </w:rPr>
        <w:t xml:space="preserve"> i</w:t>
      </w:r>
      <w:r w:rsidR="007A6E55">
        <w:rPr>
          <w:rFonts w:eastAsiaTheme="minorHAnsi" w:cs="Arial"/>
          <w:lang w:val="en-GB" w:eastAsia="en-US"/>
        </w:rPr>
        <w:t>n</w:t>
      </w:r>
      <w:r w:rsidR="00395A65" w:rsidRPr="00EC24F7">
        <w:rPr>
          <w:rFonts w:eastAsiaTheme="minorHAnsi" w:cs="Arial"/>
          <w:lang w:val="en-GB" w:eastAsia="en-US"/>
        </w:rPr>
        <w:t xml:space="preserve"> reply and in its heads of argument</w:t>
      </w:r>
      <w:r w:rsidRPr="00EC24F7">
        <w:rPr>
          <w:rFonts w:eastAsiaTheme="minorHAnsi" w:cs="Arial"/>
          <w:lang w:val="en-GB" w:eastAsia="en-US"/>
        </w:rPr>
        <w:t xml:space="preserve"> are fundamentally misguided, i</w:t>
      </w:r>
      <w:r w:rsidR="00196B3F" w:rsidRPr="00EC24F7">
        <w:rPr>
          <w:rFonts w:eastAsiaTheme="minorHAnsi" w:cs="Arial"/>
          <w:lang w:val="en-GB" w:eastAsia="en-US"/>
        </w:rPr>
        <w:t xml:space="preserve">t is impermissible for Transnet to </w:t>
      </w:r>
      <w:r w:rsidR="00D32E74" w:rsidRPr="00EC24F7">
        <w:rPr>
          <w:rFonts w:eastAsiaTheme="minorHAnsi" w:cs="Arial"/>
          <w:lang w:val="en-GB" w:eastAsia="en-US"/>
        </w:rPr>
        <w:t xml:space="preserve">raise </w:t>
      </w:r>
      <w:r w:rsidR="00395A65" w:rsidRPr="00EC24F7">
        <w:rPr>
          <w:rFonts w:eastAsiaTheme="minorHAnsi" w:cs="Arial"/>
          <w:lang w:val="en-GB" w:eastAsia="en-US"/>
        </w:rPr>
        <w:t>issues either</w:t>
      </w:r>
      <w:r w:rsidR="00D32E74" w:rsidRPr="00EC24F7">
        <w:rPr>
          <w:rFonts w:eastAsiaTheme="minorHAnsi" w:cs="Arial"/>
          <w:lang w:val="en-GB" w:eastAsia="en-US"/>
        </w:rPr>
        <w:t xml:space="preserve"> </w:t>
      </w:r>
      <w:r w:rsidR="00E36825" w:rsidRPr="00EC24F7">
        <w:rPr>
          <w:rFonts w:eastAsiaTheme="minorHAnsi" w:cs="Arial"/>
          <w:lang w:val="en-GB" w:eastAsia="en-US"/>
        </w:rPr>
        <w:t>for the first time in</w:t>
      </w:r>
      <w:r w:rsidR="00395A65" w:rsidRPr="00EC24F7">
        <w:rPr>
          <w:rFonts w:eastAsiaTheme="minorHAnsi" w:cs="Arial"/>
          <w:lang w:val="en-GB" w:eastAsia="en-US"/>
        </w:rPr>
        <w:t xml:space="preserve"> reply,</w:t>
      </w:r>
      <w:r w:rsidR="00FC1B00" w:rsidRPr="00EC24F7">
        <w:rPr>
          <w:rStyle w:val="FootnoteReference"/>
          <w:rFonts w:eastAsiaTheme="minorHAnsi" w:cs="Arial"/>
          <w:lang w:val="en-GB" w:eastAsia="en-US"/>
        </w:rPr>
        <w:footnoteReference w:id="128"/>
      </w:r>
      <w:r w:rsidR="00395A65" w:rsidRPr="00EC24F7">
        <w:rPr>
          <w:rFonts w:eastAsiaTheme="minorHAnsi" w:cs="Arial"/>
          <w:lang w:val="en-GB" w:eastAsia="en-US"/>
        </w:rPr>
        <w:t xml:space="preserve"> or in</w:t>
      </w:r>
      <w:r w:rsidR="00E36825" w:rsidRPr="00EC24F7">
        <w:rPr>
          <w:rFonts w:eastAsiaTheme="minorHAnsi" w:cs="Arial"/>
          <w:lang w:val="en-GB" w:eastAsia="en-US"/>
        </w:rPr>
        <w:t xml:space="preserve"> heads of argument without </w:t>
      </w:r>
      <w:r w:rsidR="00531248" w:rsidRPr="00EC24F7">
        <w:rPr>
          <w:rFonts w:eastAsiaTheme="minorHAnsi" w:cs="Arial"/>
          <w:lang w:val="en-GB" w:eastAsia="en-US"/>
        </w:rPr>
        <w:t>having laid any basis in the pleadings</w:t>
      </w:r>
      <w:r w:rsidR="00070344" w:rsidRPr="00EC24F7">
        <w:rPr>
          <w:rFonts w:cs="Arial"/>
          <w:lang w:val="en-GB"/>
        </w:rPr>
        <w:t>.</w:t>
      </w:r>
      <w:r w:rsidR="00070344" w:rsidRPr="00EC24F7">
        <w:rPr>
          <w:rStyle w:val="FootnoteReference"/>
          <w:rFonts w:cs="Arial"/>
          <w:lang w:val="en-GB"/>
        </w:rPr>
        <w:footnoteReference w:id="129"/>
      </w:r>
      <w:r w:rsidR="00070344" w:rsidRPr="00EC24F7">
        <w:rPr>
          <w:rFonts w:cs="Arial"/>
          <w:lang w:val="en-GB"/>
        </w:rPr>
        <w:t xml:space="preserve">  </w:t>
      </w:r>
    </w:p>
    <w:p w14:paraId="33CCEDC1" w14:textId="240F79FC" w:rsidR="00EB29BD" w:rsidRPr="00A93332" w:rsidRDefault="00EB29BD" w:rsidP="00A93332">
      <w:pPr>
        <w:pStyle w:val="ListParagraph"/>
        <w:numPr>
          <w:ilvl w:val="0"/>
          <w:numId w:val="2"/>
        </w:numPr>
        <w:spacing w:before="120" w:beforeAutospacing="0" w:after="360" w:afterAutospacing="0" w:line="480" w:lineRule="auto"/>
        <w:jc w:val="both"/>
        <w:rPr>
          <w:rFonts w:cs="Arial"/>
        </w:rPr>
      </w:pPr>
      <w:r w:rsidRPr="00EC24F7">
        <w:rPr>
          <w:rFonts w:cs="Arial"/>
          <w:lang w:val="en-GB"/>
        </w:rPr>
        <w:t>Moreover</w:t>
      </w:r>
      <w:r w:rsidR="007A6E55">
        <w:rPr>
          <w:rFonts w:cs="Arial"/>
          <w:lang w:val="en-GB"/>
        </w:rPr>
        <w:t xml:space="preserve">, </w:t>
      </w:r>
      <w:r w:rsidRPr="00EC24F7">
        <w:rPr>
          <w:rFonts w:cs="Arial"/>
          <w:lang w:val="en-GB"/>
        </w:rPr>
        <w:t xml:space="preserve">Transnet’s suggestion in the heads of argument that the City be required to establish a tented site at one of its properties to house the unlawful occupiers until a more permanent solution is found runs counter to the settled jurisprudence of the Constitutional Court </w:t>
      </w:r>
      <w:r w:rsidRPr="00A93332">
        <w:rPr>
          <w:rFonts w:cs="Arial"/>
          <w:lang w:val="en-GB"/>
        </w:rPr>
        <w:t xml:space="preserve">in that occupiers, if emergency </w:t>
      </w:r>
      <w:r w:rsidR="00A93332">
        <w:rPr>
          <w:rFonts w:cs="Arial"/>
          <w:lang w:val="en-GB"/>
        </w:rPr>
        <w:t>housing</w:t>
      </w:r>
      <w:r w:rsidRPr="00A93332">
        <w:rPr>
          <w:rFonts w:cs="Arial"/>
          <w:lang w:val="en-GB"/>
        </w:rPr>
        <w:t xml:space="preserve"> is ordered, cannot be moved repeatedly while they await a solution.</w:t>
      </w:r>
      <w:r w:rsidRPr="00EC24F7">
        <w:rPr>
          <w:rStyle w:val="FootnoteReference"/>
          <w:rFonts w:cs="Arial"/>
          <w:lang w:val="en-GB"/>
        </w:rPr>
        <w:footnoteReference w:id="130"/>
      </w:r>
    </w:p>
    <w:p w14:paraId="35EF056D" w14:textId="29A2207D" w:rsidR="00A849D4" w:rsidRPr="00EC24F7" w:rsidRDefault="003362BC" w:rsidP="002D5DB8">
      <w:pPr>
        <w:pStyle w:val="ListParagraph"/>
        <w:numPr>
          <w:ilvl w:val="0"/>
          <w:numId w:val="2"/>
        </w:numPr>
        <w:spacing w:before="120" w:beforeAutospacing="0" w:after="360" w:afterAutospacing="0" w:line="480" w:lineRule="auto"/>
        <w:jc w:val="both"/>
        <w:rPr>
          <w:rFonts w:cs="Arial"/>
        </w:rPr>
      </w:pPr>
      <w:r w:rsidRPr="00EC24F7">
        <w:rPr>
          <w:rFonts w:cs="Arial"/>
        </w:rPr>
        <w:t>As the City has explained in the further affidavit which it seeks to be admitted in terms of Rule 6(5)(e),</w:t>
      </w:r>
      <w:r w:rsidR="007B19EA" w:rsidRPr="00EC24F7">
        <w:rPr>
          <w:rStyle w:val="FootnoteReference"/>
          <w:rFonts w:cs="Arial"/>
        </w:rPr>
        <w:footnoteReference w:id="131"/>
      </w:r>
      <w:r w:rsidRPr="00EC24F7">
        <w:rPr>
          <w:rFonts w:cs="Arial"/>
        </w:rPr>
        <w:t xml:space="preserve"> </w:t>
      </w:r>
      <w:r w:rsidR="00A849D4" w:rsidRPr="00EC24F7">
        <w:rPr>
          <w:rFonts w:cs="Arial"/>
          <w:lang w:val="en-GB"/>
        </w:rPr>
        <w:t>the City is the owner of thousands o</w:t>
      </w:r>
      <w:r w:rsidR="00B83388" w:rsidRPr="00EC24F7">
        <w:rPr>
          <w:rFonts w:cs="Arial"/>
          <w:lang w:val="en-GB"/>
        </w:rPr>
        <w:t>f</w:t>
      </w:r>
      <w:r w:rsidR="00A849D4" w:rsidRPr="00EC24F7">
        <w:rPr>
          <w:rFonts w:cs="Arial"/>
          <w:lang w:val="en-GB"/>
        </w:rPr>
        <w:t xml:space="preserve"> erven, many of which </w:t>
      </w:r>
      <w:r w:rsidR="00B83388" w:rsidRPr="00EC24F7">
        <w:rPr>
          <w:rFonts w:cs="Arial"/>
          <w:lang w:val="en-GB"/>
        </w:rPr>
        <w:t>it has</w:t>
      </w:r>
      <w:r w:rsidR="00A849D4" w:rsidRPr="00EC24F7">
        <w:rPr>
          <w:rFonts w:cs="Arial"/>
          <w:lang w:val="en-GB"/>
        </w:rPr>
        <w:t xml:space="preserve"> owned for a very long time, and </w:t>
      </w:r>
      <w:r w:rsidR="00B83388" w:rsidRPr="00EC24F7">
        <w:rPr>
          <w:rFonts w:cs="Arial"/>
          <w:lang w:val="en-GB"/>
        </w:rPr>
        <w:t xml:space="preserve">which </w:t>
      </w:r>
      <w:r w:rsidR="00A849D4" w:rsidRPr="00EC24F7">
        <w:rPr>
          <w:rFonts w:cs="Arial"/>
          <w:lang w:val="en-GB"/>
        </w:rPr>
        <w:t xml:space="preserve">are </w:t>
      </w:r>
      <w:r w:rsidR="00B83388" w:rsidRPr="00EC24F7">
        <w:rPr>
          <w:rFonts w:cs="Arial"/>
          <w:lang w:val="en-GB"/>
        </w:rPr>
        <w:t xml:space="preserve">largely </w:t>
      </w:r>
      <w:r w:rsidR="00A849D4" w:rsidRPr="00EC24F7">
        <w:rPr>
          <w:rFonts w:cs="Arial"/>
          <w:lang w:val="en-GB"/>
        </w:rPr>
        <w:t xml:space="preserve">utilised, or held for </w:t>
      </w:r>
      <w:r w:rsidR="00A849D4" w:rsidRPr="00EC24F7">
        <w:rPr>
          <w:rFonts w:cs="Arial"/>
          <w:lang w:val="en-GB"/>
        </w:rPr>
        <w:lastRenderedPageBreak/>
        <w:t>municipal service delivery purposes</w:t>
      </w:r>
      <w:r w:rsidR="00B83388" w:rsidRPr="00EC24F7">
        <w:rPr>
          <w:rFonts w:cs="Arial"/>
          <w:lang w:val="en-GB"/>
        </w:rPr>
        <w:t>.</w:t>
      </w:r>
      <w:r w:rsidR="00B83388" w:rsidRPr="00EC24F7">
        <w:rPr>
          <w:rStyle w:val="FootnoteReference"/>
          <w:rFonts w:cs="Arial"/>
          <w:lang w:val="en-GB"/>
        </w:rPr>
        <w:footnoteReference w:id="132"/>
      </w:r>
      <w:r w:rsidR="002D5DB8" w:rsidRPr="00EC24F7">
        <w:rPr>
          <w:rFonts w:cs="Arial"/>
          <w:lang w:val="en-GB"/>
        </w:rPr>
        <w:t xml:space="preserve"> </w:t>
      </w:r>
      <w:r w:rsidR="00DF1D3D" w:rsidRPr="00EC24F7">
        <w:rPr>
          <w:rFonts w:cs="Arial"/>
          <w:lang w:val="en-GB"/>
        </w:rPr>
        <w:t xml:space="preserve"> G</w:t>
      </w:r>
      <w:r w:rsidR="00A849D4" w:rsidRPr="00EC24F7">
        <w:rPr>
          <w:rFonts w:cs="Arial"/>
          <w:lang w:val="en-GB"/>
        </w:rPr>
        <w:t>iven the dynamic nature of this City, some of the City’s immovable properties become vacated or unutilised by the City over time.</w:t>
      </w:r>
      <w:r w:rsidR="00A849D4" w:rsidRPr="00EC24F7">
        <w:rPr>
          <w:rStyle w:val="FootnoteReference"/>
          <w:rFonts w:cs="Arial"/>
          <w:lang w:val="en-GB"/>
        </w:rPr>
        <w:footnoteReference w:id="133"/>
      </w:r>
      <w:r w:rsidR="00763BA3" w:rsidRPr="00EC24F7">
        <w:rPr>
          <w:rFonts w:cs="Arial"/>
          <w:lang w:val="en-GB"/>
        </w:rPr>
        <w:t xml:space="preserve">  </w:t>
      </w:r>
    </w:p>
    <w:p w14:paraId="2DAFF74C" w14:textId="63A10D3A" w:rsidR="00A849D4" w:rsidRPr="00EC24F7" w:rsidRDefault="00763BA3" w:rsidP="00763BA3">
      <w:pPr>
        <w:pStyle w:val="ListParagraph"/>
        <w:numPr>
          <w:ilvl w:val="0"/>
          <w:numId w:val="2"/>
        </w:numPr>
        <w:spacing w:before="120" w:beforeAutospacing="0" w:after="360" w:afterAutospacing="0" w:line="480" w:lineRule="auto"/>
        <w:jc w:val="both"/>
        <w:rPr>
          <w:rStyle w:val="t286pc"/>
          <w:rFonts w:cs="Arial"/>
        </w:rPr>
      </w:pPr>
      <w:r w:rsidRPr="00EC24F7">
        <w:rPr>
          <w:rFonts w:cs="Arial"/>
          <w:lang w:val="en-GB"/>
        </w:rPr>
        <w:t>The City manages its immovable properties</w:t>
      </w:r>
      <w:r w:rsidR="0010793B" w:rsidRPr="00EC24F7">
        <w:rPr>
          <w:rFonts w:cs="Arial"/>
          <w:lang w:val="en-GB"/>
        </w:rPr>
        <w:t xml:space="preserve"> sustainably, transparently and </w:t>
      </w:r>
      <w:r w:rsidR="00A849D4" w:rsidRPr="00EC24F7">
        <w:rPr>
          <w:rFonts w:cs="Arial"/>
          <w:lang w:val="en-GB"/>
        </w:rPr>
        <w:t>lawful</w:t>
      </w:r>
      <w:r w:rsidR="0010793B" w:rsidRPr="00EC24F7">
        <w:rPr>
          <w:rFonts w:cs="Arial"/>
          <w:lang w:val="en-GB"/>
        </w:rPr>
        <w:t>ly</w:t>
      </w:r>
      <w:r w:rsidR="00A849D4" w:rsidRPr="00EC24F7">
        <w:rPr>
          <w:rFonts w:cs="Arial"/>
          <w:lang w:val="en-GB"/>
        </w:rPr>
        <w:t xml:space="preserve"> </w:t>
      </w:r>
      <w:r w:rsidR="0010793B" w:rsidRPr="00EC24F7">
        <w:rPr>
          <w:rFonts w:cs="Arial"/>
          <w:lang w:val="en-GB"/>
        </w:rPr>
        <w:t xml:space="preserve">in terms of, </w:t>
      </w:r>
      <w:r w:rsidR="0010793B" w:rsidRPr="00EC24F7">
        <w:rPr>
          <w:rFonts w:cs="Arial"/>
          <w:i/>
          <w:iCs/>
          <w:lang w:val="en-GB"/>
        </w:rPr>
        <w:t>inter alia</w:t>
      </w:r>
      <w:r w:rsidR="0010793B" w:rsidRPr="00EC24F7">
        <w:rPr>
          <w:rFonts w:cs="Arial"/>
          <w:lang w:val="en-GB"/>
        </w:rPr>
        <w:t>,</w:t>
      </w:r>
      <w:r w:rsidR="00A849D4" w:rsidRPr="00EC24F7">
        <w:rPr>
          <w:rFonts w:cs="Arial"/>
          <w:lang w:val="en-GB"/>
        </w:rPr>
        <w:t xml:space="preserve"> t</w:t>
      </w:r>
      <w:r w:rsidR="00A849D4" w:rsidRPr="00EC24F7">
        <w:rPr>
          <w:rFonts w:cs="Arial"/>
          <w:color w:val="0A0A0A"/>
        </w:rPr>
        <w:t xml:space="preserve">he Local Government: Municipal Finance Management Act 56 of 2003 (‘the MFMA’) and </w:t>
      </w:r>
      <w:r w:rsidR="00CA56E1" w:rsidRPr="00EC24F7">
        <w:rPr>
          <w:rFonts w:cs="Arial"/>
          <w:color w:val="0A0A0A"/>
        </w:rPr>
        <w:t xml:space="preserve">the City’s </w:t>
      </w:r>
      <w:r w:rsidR="0076188B" w:rsidRPr="00EC24F7">
        <w:rPr>
          <w:rFonts w:cs="Arial"/>
          <w:lang w:val="en-GB"/>
        </w:rPr>
        <w:t>I</w:t>
      </w:r>
      <w:r w:rsidR="00CA56E1" w:rsidRPr="00EC24F7">
        <w:rPr>
          <w:rStyle w:val="Strong"/>
          <w:rFonts w:cs="Arial"/>
          <w:b w:val="0"/>
          <w:bCs w:val="0"/>
          <w:color w:val="0A0A0A"/>
        </w:rPr>
        <w:t xml:space="preserve">mmovable Property By-law, 2015, the </w:t>
      </w:r>
      <w:r w:rsidR="00CA56E1" w:rsidRPr="00EC24F7">
        <w:rPr>
          <w:rFonts w:cs="Arial"/>
          <w:lang w:val="en-GB"/>
        </w:rPr>
        <w:t>Management of Certain of the City of Cape Town’s Immovable Property Policy, 2010</w:t>
      </w:r>
      <w:r w:rsidR="00CA56E1" w:rsidRPr="00EC24F7">
        <w:rPr>
          <w:rStyle w:val="Strong"/>
          <w:rFonts w:cs="Arial"/>
          <w:b w:val="0"/>
          <w:bCs w:val="0"/>
          <w:color w:val="0A0A0A"/>
        </w:rPr>
        <w:t xml:space="preserve"> and the Immoveable Property Asset Management Policy.</w:t>
      </w:r>
      <w:r w:rsidR="006555A7" w:rsidRPr="00EC24F7">
        <w:rPr>
          <w:rStyle w:val="FootnoteReference"/>
          <w:rFonts w:cs="Arial"/>
          <w:color w:val="0A0A0A"/>
        </w:rPr>
        <w:footnoteReference w:id="134"/>
      </w:r>
      <w:r w:rsidR="00CA56E1" w:rsidRPr="00EC24F7">
        <w:rPr>
          <w:rStyle w:val="Strong"/>
          <w:rFonts w:cs="Arial"/>
          <w:b w:val="0"/>
          <w:bCs w:val="0"/>
          <w:color w:val="0A0A0A"/>
        </w:rPr>
        <w:t xml:space="preserve"> </w:t>
      </w:r>
      <w:r w:rsidR="0076188B" w:rsidRPr="00EC24F7">
        <w:rPr>
          <w:rStyle w:val="Strong"/>
          <w:rFonts w:cs="Arial"/>
          <w:b w:val="0"/>
          <w:bCs w:val="0"/>
          <w:color w:val="0A0A0A"/>
        </w:rPr>
        <w:t xml:space="preserve"> </w:t>
      </w:r>
      <w:r w:rsidR="00A849D4" w:rsidRPr="00EC24F7">
        <w:rPr>
          <w:rStyle w:val="t286pc"/>
          <w:rFonts w:cs="Arial"/>
          <w:color w:val="0A0A0A"/>
        </w:rPr>
        <w:t>A vital component of t</w:t>
      </w:r>
      <w:r w:rsidR="0076188B" w:rsidRPr="00EC24F7">
        <w:rPr>
          <w:rStyle w:val="t286pc"/>
          <w:rFonts w:cs="Arial"/>
          <w:color w:val="0A0A0A"/>
        </w:rPr>
        <w:t>he City’s</w:t>
      </w:r>
      <w:r w:rsidR="00A849D4" w:rsidRPr="00EC24F7">
        <w:rPr>
          <w:rStyle w:val="t286pc"/>
          <w:rFonts w:cs="Arial"/>
          <w:color w:val="0A0A0A"/>
        </w:rPr>
        <w:t xml:space="preserve"> sustainable asset management </w:t>
      </w:r>
      <w:r w:rsidR="0076188B" w:rsidRPr="00EC24F7">
        <w:rPr>
          <w:rStyle w:val="t286pc"/>
          <w:rFonts w:cs="Arial"/>
          <w:color w:val="0A0A0A"/>
        </w:rPr>
        <w:t>strategy</w:t>
      </w:r>
      <w:r w:rsidR="00A849D4" w:rsidRPr="00EC24F7">
        <w:rPr>
          <w:rStyle w:val="t286pc"/>
          <w:rFonts w:cs="Arial"/>
          <w:color w:val="0A0A0A"/>
        </w:rPr>
        <w:t xml:space="preserve"> is the right to dispos</w:t>
      </w:r>
      <w:r w:rsidR="0076188B" w:rsidRPr="00EC24F7">
        <w:rPr>
          <w:rStyle w:val="t286pc"/>
          <w:rFonts w:cs="Arial"/>
          <w:color w:val="0A0A0A"/>
        </w:rPr>
        <w:t>e</w:t>
      </w:r>
      <w:r w:rsidR="00A849D4" w:rsidRPr="00EC24F7">
        <w:rPr>
          <w:rStyle w:val="t286pc"/>
          <w:rFonts w:cs="Arial"/>
          <w:color w:val="0A0A0A"/>
        </w:rPr>
        <w:t xml:space="preserve"> of </w:t>
      </w:r>
      <w:r w:rsidR="006555A7" w:rsidRPr="00EC24F7">
        <w:rPr>
          <w:rStyle w:val="t286pc"/>
          <w:rFonts w:cs="Arial"/>
          <w:color w:val="0A0A0A"/>
        </w:rPr>
        <w:t xml:space="preserve">unutilised </w:t>
      </w:r>
      <w:r w:rsidR="00A849D4" w:rsidRPr="00EC24F7">
        <w:rPr>
          <w:rStyle w:val="t286pc"/>
          <w:rFonts w:cs="Arial"/>
          <w:color w:val="0A0A0A"/>
        </w:rPr>
        <w:t xml:space="preserve">immovable properties once </w:t>
      </w:r>
      <w:r w:rsidR="00832DF3" w:rsidRPr="00EC24F7">
        <w:rPr>
          <w:rStyle w:val="t286pc"/>
          <w:rFonts w:cs="Arial"/>
          <w:color w:val="0A0A0A"/>
        </w:rPr>
        <w:t xml:space="preserve">all the </w:t>
      </w:r>
      <w:r w:rsidR="00A849D4" w:rsidRPr="00EC24F7">
        <w:rPr>
          <w:rStyle w:val="t286pc"/>
          <w:rFonts w:cs="Arial"/>
          <w:color w:val="0A0A0A"/>
        </w:rPr>
        <w:t>lawful processes have been complied with.</w:t>
      </w:r>
      <w:r w:rsidR="00832DF3" w:rsidRPr="00EC24F7">
        <w:rPr>
          <w:rStyle w:val="FootnoteReference"/>
          <w:rFonts w:cs="Arial"/>
          <w:color w:val="0A0A0A"/>
        </w:rPr>
        <w:footnoteReference w:id="135"/>
      </w:r>
    </w:p>
    <w:p w14:paraId="47F3D601" w14:textId="77777777" w:rsidR="003A4F3D" w:rsidRPr="00EC24F7" w:rsidRDefault="00A849D4" w:rsidP="001C6E74">
      <w:pPr>
        <w:numPr>
          <w:ilvl w:val="0"/>
          <w:numId w:val="2"/>
        </w:numPr>
        <w:snapToGrid w:val="0"/>
        <w:spacing w:before="120" w:after="360" w:line="480" w:lineRule="auto"/>
        <w:jc w:val="both"/>
        <w:rPr>
          <w:rFonts w:cs="Arial"/>
          <w:lang w:val="en-GB"/>
        </w:rPr>
      </w:pPr>
      <w:r w:rsidRPr="00EC24F7">
        <w:rPr>
          <w:rStyle w:val="ssparacontent"/>
          <w:rFonts w:cs="Arial"/>
          <w:lang w:val="en-GB"/>
        </w:rPr>
        <w:t xml:space="preserve">Section 14(2) </w:t>
      </w:r>
      <w:r w:rsidR="00405DAA" w:rsidRPr="00EC24F7">
        <w:rPr>
          <w:rFonts w:cs="Arial"/>
          <w:lang w:val="en-GB"/>
        </w:rPr>
        <w:t>of the MFMA</w:t>
      </w:r>
      <w:r w:rsidR="00405DAA" w:rsidRPr="00EC24F7">
        <w:rPr>
          <w:rStyle w:val="ssparacontent"/>
          <w:rFonts w:cs="Arial"/>
          <w:lang w:val="en-GB"/>
        </w:rPr>
        <w:t xml:space="preserve"> </w:t>
      </w:r>
      <w:r w:rsidRPr="00EC24F7">
        <w:rPr>
          <w:rStyle w:val="ssparacontent"/>
          <w:rFonts w:cs="Arial"/>
          <w:lang w:val="en-GB"/>
        </w:rPr>
        <w:t xml:space="preserve">provides that a municipality may </w:t>
      </w:r>
      <w:r w:rsidRPr="00EC24F7">
        <w:rPr>
          <w:rFonts w:cs="Arial"/>
          <w:lang w:val="en-GB"/>
        </w:rPr>
        <w:t xml:space="preserve">transfer ownership of a capital asset </w:t>
      </w:r>
      <w:r w:rsidR="00405DAA" w:rsidRPr="00EC24F7">
        <w:rPr>
          <w:rFonts w:cs="Arial"/>
          <w:lang w:val="en-GB"/>
        </w:rPr>
        <w:t xml:space="preserve">which is not </w:t>
      </w:r>
      <w:r w:rsidR="00405DAA" w:rsidRPr="00EC24F7">
        <w:rPr>
          <w:rStyle w:val="ssparacontent"/>
          <w:rFonts w:cs="Arial"/>
          <w:lang w:val="en-GB"/>
        </w:rPr>
        <w:t>needed to provide the minimum level of basic municipal services</w:t>
      </w:r>
      <w:r w:rsidRPr="00EC24F7">
        <w:rPr>
          <w:rFonts w:cs="Arial"/>
          <w:lang w:val="en-GB"/>
        </w:rPr>
        <w:t xml:space="preserve"> after the municipal council, in a meeting open to the public</w:t>
      </w:r>
      <w:r w:rsidR="001C6E74" w:rsidRPr="00EC24F7">
        <w:rPr>
          <w:rFonts w:cs="Arial"/>
          <w:lang w:val="en-GB"/>
        </w:rPr>
        <w:t>,</w:t>
      </w:r>
      <w:r w:rsidRPr="00EC24F7">
        <w:rPr>
          <w:rFonts w:cs="Arial"/>
          <w:lang w:val="en-GB"/>
        </w:rPr>
        <w:t xml:space="preserve"> has decided on reasonable grounds that the asset is not needed to provide the minimum level of basic municipal services and has considered the fair market value of the asset and the economic and community value to be received in exchange for the asset.  </w:t>
      </w:r>
    </w:p>
    <w:p w14:paraId="43D84F5F" w14:textId="6BBBE3E0" w:rsidR="00A849D4" w:rsidRPr="00EC24F7" w:rsidRDefault="00A849D4" w:rsidP="001C6E74">
      <w:pPr>
        <w:numPr>
          <w:ilvl w:val="0"/>
          <w:numId w:val="2"/>
        </w:numPr>
        <w:snapToGrid w:val="0"/>
        <w:spacing w:before="120" w:after="360" w:line="480" w:lineRule="auto"/>
        <w:jc w:val="both"/>
        <w:rPr>
          <w:rFonts w:cs="Arial"/>
          <w:lang w:val="en-GB"/>
        </w:rPr>
      </w:pPr>
      <w:r w:rsidRPr="00EC24F7">
        <w:rPr>
          <w:rFonts w:cs="Arial"/>
          <w:lang w:val="en-GB"/>
        </w:rPr>
        <w:t xml:space="preserve">Regulations 5(1)(a) and (b) </w:t>
      </w:r>
      <w:r w:rsidR="001C6E74" w:rsidRPr="00EC24F7">
        <w:rPr>
          <w:rFonts w:cs="Arial"/>
          <w:lang w:val="en-GB"/>
        </w:rPr>
        <w:t xml:space="preserve">of the MFMA </w:t>
      </w:r>
      <w:r w:rsidRPr="00EC24F7">
        <w:rPr>
          <w:rFonts w:cs="Arial"/>
          <w:lang w:val="en-GB"/>
        </w:rPr>
        <w:t xml:space="preserve">provide that a municipality may transfer a capital asset only after the accounting officer has conducted a public participation process to facilitate the determinations that the municipal council </w:t>
      </w:r>
      <w:r w:rsidRPr="00EC24F7">
        <w:rPr>
          <w:rFonts w:cs="Arial"/>
          <w:lang w:val="en-GB"/>
        </w:rPr>
        <w:lastRenderedPageBreak/>
        <w:t xml:space="preserve">must make in terms of s 14(2) and the municipal council has made such determinations and has in principle approved the transfer. Regulation 5(2) mandates a public participation process where the capital asset </w:t>
      </w:r>
      <w:r w:rsidRPr="00EC24F7">
        <w:rPr>
          <w:rFonts w:cs="Arial"/>
          <w:color w:val="000000"/>
          <w:lang w:val="en-GB"/>
        </w:rPr>
        <w:t xml:space="preserve">proposed to be transferred </w:t>
      </w:r>
      <w:r w:rsidRPr="00EC24F7">
        <w:rPr>
          <w:rFonts w:cs="Arial"/>
          <w:lang w:val="en-GB"/>
        </w:rPr>
        <w:t xml:space="preserve">is a high value capital asset or where </w:t>
      </w:r>
      <w:r w:rsidRPr="00EC24F7">
        <w:rPr>
          <w:rFonts w:cs="Arial"/>
          <w:color w:val="000000"/>
          <w:lang w:val="en-GB"/>
        </w:rPr>
        <w:t xml:space="preserve">the combined value of any capital assets intended to be transferred in any financial year exceeds 5% of the total value of the assets as determined from the latest available audited annual financial statements.  </w:t>
      </w:r>
      <w:r w:rsidRPr="00EC24F7">
        <w:rPr>
          <w:rFonts w:cs="Arial"/>
          <w:lang w:val="en-GB"/>
        </w:rPr>
        <w:t xml:space="preserve">Regulation 7 sets out sets out the factors that a municipality must take into account when it considers </w:t>
      </w:r>
      <w:r w:rsidRPr="00EC24F7">
        <w:rPr>
          <w:rFonts w:cs="Arial"/>
          <w:color w:val="000000"/>
          <w:lang w:val="en-GB"/>
        </w:rPr>
        <w:t>any proposed transfer of a capital asset in terms of Regulation 5(1).</w:t>
      </w:r>
      <w:r w:rsidR="00D96762" w:rsidRPr="00EC24F7">
        <w:rPr>
          <w:rStyle w:val="FootnoteReference"/>
          <w:rFonts w:cs="Arial"/>
          <w:color w:val="000000"/>
          <w:lang w:val="en-GB"/>
        </w:rPr>
        <w:footnoteReference w:id="136"/>
      </w:r>
      <w:r w:rsidR="00DD6E4A" w:rsidRPr="00EC24F7">
        <w:rPr>
          <w:rFonts w:cs="Arial"/>
          <w:lang w:val="en-GB"/>
        </w:rPr>
        <w:t xml:space="preserve">  </w:t>
      </w:r>
      <w:r w:rsidRPr="00EC24F7">
        <w:rPr>
          <w:rFonts w:cs="Arial"/>
          <w:lang w:val="en-GB"/>
        </w:rPr>
        <w:t>Regulation 12(1) provides that if</w:t>
      </w:r>
      <w:r w:rsidRPr="00EC24F7">
        <w:rPr>
          <w:rFonts w:cs="Arial"/>
          <w:color w:val="000000"/>
          <w:lang w:val="en-GB"/>
        </w:rPr>
        <w:t xml:space="preserve"> approval has been given in terms of Regulation 5(1)(b)(ii) </w:t>
      </w:r>
      <w:r w:rsidR="00E11378" w:rsidRPr="00EC24F7">
        <w:rPr>
          <w:rFonts w:cs="Arial"/>
          <w:color w:val="000000"/>
          <w:lang w:val="en-GB"/>
        </w:rPr>
        <w:t>for the transfer of</w:t>
      </w:r>
      <w:r w:rsidRPr="00EC24F7">
        <w:rPr>
          <w:rFonts w:cs="Arial"/>
          <w:color w:val="000000"/>
          <w:lang w:val="en-GB"/>
        </w:rPr>
        <w:t xml:space="preserve"> a capital asset, the municipality may transfer the asset only in accordance with its disposal management system.</w:t>
      </w:r>
    </w:p>
    <w:p w14:paraId="63378C4C" w14:textId="4BF8497F" w:rsidR="00B86829" w:rsidRPr="00EC24F7" w:rsidRDefault="00A849D4" w:rsidP="00A849D4">
      <w:pPr>
        <w:numPr>
          <w:ilvl w:val="0"/>
          <w:numId w:val="2"/>
        </w:numPr>
        <w:snapToGrid w:val="0"/>
        <w:spacing w:before="120" w:after="360" w:line="480" w:lineRule="auto"/>
        <w:jc w:val="both"/>
        <w:rPr>
          <w:rFonts w:cs="Arial"/>
          <w:lang w:val="en-GB"/>
        </w:rPr>
      </w:pPr>
      <w:r w:rsidRPr="00EC24F7">
        <w:rPr>
          <w:rFonts w:cs="Arial"/>
          <w:lang w:val="en-GB"/>
        </w:rPr>
        <w:t xml:space="preserve">The City followed the processes </w:t>
      </w:r>
      <w:r w:rsidR="00A51206" w:rsidRPr="00EC24F7">
        <w:rPr>
          <w:rFonts w:cs="Arial"/>
          <w:lang w:val="en-GB"/>
        </w:rPr>
        <w:t>set by s 14 of the MFMA,</w:t>
      </w:r>
      <w:r w:rsidR="00985768" w:rsidRPr="00EC24F7">
        <w:rPr>
          <w:rFonts w:cs="Arial"/>
          <w:lang w:val="en-GB"/>
        </w:rPr>
        <w:t xml:space="preserve"> read with </w:t>
      </w:r>
      <w:r w:rsidR="00A51206" w:rsidRPr="00EC24F7">
        <w:rPr>
          <w:rFonts w:cs="Arial"/>
          <w:lang w:val="en-GB"/>
        </w:rPr>
        <w:t>the MATR, and the relevant policies outlined above</w:t>
      </w:r>
      <w:r w:rsidR="00985768" w:rsidRPr="00EC24F7">
        <w:rPr>
          <w:rFonts w:cs="Arial"/>
          <w:lang w:val="en-GB"/>
        </w:rPr>
        <w:t>,</w:t>
      </w:r>
      <w:r w:rsidRPr="00EC24F7">
        <w:rPr>
          <w:rFonts w:cs="Arial"/>
          <w:lang w:val="en-GB"/>
        </w:rPr>
        <w:t xml:space="preserve"> in the disposal of all the properties identified by Transnet.</w:t>
      </w:r>
      <w:r w:rsidR="008E3583" w:rsidRPr="00EC24F7">
        <w:rPr>
          <w:rStyle w:val="FootnoteReference"/>
          <w:rFonts w:cs="Arial"/>
          <w:lang w:val="en-GB"/>
        </w:rPr>
        <w:footnoteReference w:id="137"/>
      </w:r>
      <w:r w:rsidRPr="00EC24F7">
        <w:rPr>
          <w:rFonts w:cs="Arial"/>
          <w:lang w:val="en-GB"/>
        </w:rPr>
        <w:t xml:space="preserve">  In summary, each of the properties was </w:t>
      </w:r>
      <w:r w:rsidR="000F0598">
        <w:rPr>
          <w:rFonts w:cs="Arial"/>
          <w:lang w:val="en-GB"/>
        </w:rPr>
        <w:t>auctioned</w:t>
      </w:r>
      <w:r w:rsidRPr="00EC24F7">
        <w:rPr>
          <w:rFonts w:cs="Arial"/>
          <w:lang w:val="en-GB"/>
        </w:rPr>
        <w:t xml:space="preserve"> pursuant to lawful </w:t>
      </w:r>
      <w:r w:rsidR="00FB2189" w:rsidRPr="00EC24F7">
        <w:rPr>
          <w:rFonts w:cs="Arial"/>
          <w:lang w:val="en-GB"/>
        </w:rPr>
        <w:t xml:space="preserve">Council </w:t>
      </w:r>
      <w:r w:rsidRPr="00EC24F7">
        <w:rPr>
          <w:rFonts w:cs="Arial"/>
          <w:lang w:val="en-GB"/>
        </w:rPr>
        <w:t>decisions taken in meetings open to the public, after both internal and external public participation</w:t>
      </w:r>
      <w:r w:rsidR="00E04ABA" w:rsidRPr="00EC24F7">
        <w:rPr>
          <w:rFonts w:cs="Arial"/>
          <w:lang w:val="en-GB"/>
        </w:rPr>
        <w:t xml:space="preserve"> processes</w:t>
      </w:r>
      <w:r w:rsidRPr="00EC24F7">
        <w:rPr>
          <w:rFonts w:cs="Arial"/>
          <w:lang w:val="en-GB"/>
        </w:rPr>
        <w:t xml:space="preserve"> determined that the properties are not needed to provide the minimum level of basic municipal </w:t>
      </w:r>
      <w:r w:rsidRPr="00EC24F7">
        <w:rPr>
          <w:rFonts w:cs="Arial"/>
          <w:lang w:val="en-GB"/>
        </w:rPr>
        <w:lastRenderedPageBreak/>
        <w:t xml:space="preserve">services, (including housing) and </w:t>
      </w:r>
      <w:r w:rsidR="00830421">
        <w:rPr>
          <w:rFonts w:cs="Arial"/>
          <w:lang w:val="en-GB"/>
        </w:rPr>
        <w:t>after</w:t>
      </w:r>
      <w:r w:rsidRPr="00EC24F7">
        <w:rPr>
          <w:rFonts w:cs="Arial"/>
          <w:lang w:val="en-GB"/>
        </w:rPr>
        <w:t xml:space="preserve"> consider</w:t>
      </w:r>
      <w:r w:rsidR="00830421">
        <w:rPr>
          <w:rFonts w:cs="Arial"/>
          <w:lang w:val="en-GB"/>
        </w:rPr>
        <w:t>ing</w:t>
      </w:r>
      <w:r w:rsidRPr="00EC24F7">
        <w:rPr>
          <w:rFonts w:cs="Arial"/>
          <w:lang w:val="en-GB"/>
        </w:rPr>
        <w:t xml:space="preserve"> the fair market value of the properties and the economic and community value to be received in exchange for the properties.</w:t>
      </w:r>
      <w:r w:rsidR="00E04ABA" w:rsidRPr="00EC24F7">
        <w:rPr>
          <w:rStyle w:val="FootnoteReference"/>
          <w:rFonts w:cs="Arial"/>
          <w:lang w:val="en-GB"/>
        </w:rPr>
        <w:footnoteReference w:id="138"/>
      </w:r>
      <w:r w:rsidRPr="00EC24F7">
        <w:rPr>
          <w:rFonts w:cs="Arial"/>
          <w:lang w:val="en-GB"/>
        </w:rPr>
        <w:t xml:space="preserve">  </w:t>
      </w:r>
    </w:p>
    <w:p w14:paraId="51C3FEA8" w14:textId="20F4E0E3" w:rsidR="006B657C" w:rsidRPr="00EC24F7" w:rsidRDefault="00A849D4" w:rsidP="00B86829">
      <w:pPr>
        <w:numPr>
          <w:ilvl w:val="0"/>
          <w:numId w:val="2"/>
        </w:numPr>
        <w:snapToGrid w:val="0"/>
        <w:spacing w:before="120" w:after="360" w:line="480" w:lineRule="auto"/>
        <w:jc w:val="both"/>
        <w:rPr>
          <w:rFonts w:cs="Arial"/>
          <w:lang w:val="en-GB"/>
        </w:rPr>
      </w:pPr>
      <w:r w:rsidRPr="00EC24F7">
        <w:rPr>
          <w:rFonts w:cs="Arial"/>
          <w:lang w:val="en-GB"/>
        </w:rPr>
        <w:t xml:space="preserve">These decisions were taken after a careful consideration of all of the relevant factors mandated by s 14 of the MFMA read with the MATR and after due compliance with the Policy which is the City’s </w:t>
      </w:r>
      <w:r w:rsidRPr="00EC24F7">
        <w:rPr>
          <w:rFonts w:cs="Arial"/>
          <w:color w:val="000000"/>
          <w:lang w:val="en-GB"/>
        </w:rPr>
        <w:t>disposal management system as contemplated by Regulation 12 of the MATR.</w:t>
      </w:r>
      <w:r w:rsidRPr="00EC24F7">
        <w:rPr>
          <w:rStyle w:val="FootnoteReference"/>
          <w:rFonts w:cs="Arial"/>
          <w:color w:val="000000"/>
          <w:lang w:val="en-GB"/>
        </w:rPr>
        <w:footnoteReference w:id="139"/>
      </w:r>
      <w:r w:rsidR="00B86829" w:rsidRPr="00EC24F7">
        <w:rPr>
          <w:rFonts w:cs="Arial"/>
          <w:lang w:val="en-GB"/>
        </w:rPr>
        <w:t xml:space="preserve">  </w:t>
      </w:r>
      <w:r w:rsidR="007705BA" w:rsidRPr="00EC24F7">
        <w:rPr>
          <w:rFonts w:cs="Arial"/>
          <w:lang w:val="en-GB"/>
        </w:rPr>
        <w:t xml:space="preserve">Before the Council took the decision that the properties identified by Transnet were not needed to provide the minimum level of basic municipal services for the purposes of human settlements in particular, the City’s Property </w:t>
      </w:r>
      <w:r w:rsidR="007705BA" w:rsidRPr="00EC24F7">
        <w:rPr>
          <w:rFonts w:cs="Arial"/>
          <w:color w:val="0A0A0A"/>
          <w:lang w:eastAsia="en-ZA"/>
        </w:rPr>
        <w:t>Transactions</w:t>
      </w:r>
      <w:r w:rsidR="007705BA" w:rsidRPr="00EC24F7">
        <w:rPr>
          <w:rFonts w:cs="Arial"/>
          <w:lang w:val="en-GB"/>
        </w:rPr>
        <w:t xml:space="preserve"> Department had </w:t>
      </w:r>
      <w:r w:rsidR="007705BA" w:rsidRPr="00EC24F7">
        <w:rPr>
          <w:rFonts w:eastAsiaTheme="minorHAnsi" w:cs="Arial"/>
          <w:color w:val="000000"/>
          <w:lang w:val="en-GB" w:eastAsia="en-US"/>
        </w:rPr>
        <w:t>delivered requests to each of the City’s relevant departments calling for comment on whether those departments sought the reservation of any the properties for their purposes or had any objection to the disposal.</w:t>
      </w:r>
      <w:r w:rsidR="007705BA" w:rsidRPr="00EC24F7">
        <w:rPr>
          <w:rStyle w:val="FootnoteReference"/>
          <w:rFonts w:eastAsiaTheme="minorHAnsi" w:cs="Arial"/>
          <w:color w:val="000000"/>
          <w:lang w:val="en-GB" w:eastAsia="en-US"/>
        </w:rPr>
        <w:footnoteReference w:id="140"/>
      </w:r>
      <w:r w:rsidR="007705BA" w:rsidRPr="00EC24F7">
        <w:rPr>
          <w:rFonts w:eastAsiaTheme="minorHAnsi" w:cs="Arial"/>
          <w:color w:val="000000"/>
          <w:lang w:val="en-GB" w:eastAsia="en-US"/>
        </w:rPr>
        <w:t xml:space="preserve">  All the City’s Human Settlements branch departments (housing implementations, informal settlements, home ownership, and social and affordable housing) were asked to provide any objections or expressions of interest in respect of the properties and the proposed disposals.</w:t>
      </w:r>
      <w:r w:rsidR="007705BA" w:rsidRPr="00EC24F7">
        <w:rPr>
          <w:rStyle w:val="FootnoteReference"/>
          <w:rFonts w:eastAsiaTheme="minorHAnsi" w:cs="Arial"/>
          <w:color w:val="000000"/>
          <w:lang w:val="en-GB" w:eastAsia="en-US"/>
        </w:rPr>
        <w:footnoteReference w:id="141"/>
      </w:r>
      <w:r w:rsidR="007705BA" w:rsidRPr="00EC24F7">
        <w:rPr>
          <w:rFonts w:cs="Arial"/>
          <w:lang w:val="en-GB"/>
        </w:rPr>
        <w:t xml:space="preserve"> </w:t>
      </w:r>
      <w:r w:rsidR="007705BA" w:rsidRPr="00EC24F7">
        <w:rPr>
          <w:rFonts w:eastAsiaTheme="minorHAnsi" w:cs="Arial"/>
          <w:color w:val="000000"/>
          <w:lang w:val="en-GB" w:eastAsia="en-US"/>
        </w:rPr>
        <w:t xml:space="preserve">Any requests or objections were collated, and </w:t>
      </w:r>
      <w:r w:rsidR="007705BA" w:rsidRPr="00EC24F7">
        <w:rPr>
          <w:rFonts w:cs="Arial"/>
          <w:lang w:val="en-GB"/>
        </w:rPr>
        <w:t xml:space="preserve">the City’s </w:t>
      </w:r>
      <w:r w:rsidR="007705BA" w:rsidRPr="00EC24F7">
        <w:rPr>
          <w:rFonts w:eastAsiaTheme="minorHAnsi" w:cs="Arial"/>
          <w:color w:val="000000"/>
          <w:lang w:val="en-GB" w:eastAsia="en-US"/>
        </w:rPr>
        <w:t>Land and Forward Planning department furnished its comments on the proposed disposals.</w:t>
      </w:r>
      <w:r w:rsidR="007705BA" w:rsidRPr="00EC24F7">
        <w:rPr>
          <w:rStyle w:val="FootnoteReference"/>
          <w:rFonts w:eastAsiaTheme="minorHAnsi" w:cs="Arial"/>
          <w:color w:val="000000"/>
          <w:lang w:val="en-GB" w:eastAsia="en-US"/>
        </w:rPr>
        <w:footnoteReference w:id="142"/>
      </w:r>
      <w:r w:rsidR="007705BA" w:rsidRPr="00EC24F7">
        <w:rPr>
          <w:rFonts w:cs="Arial"/>
          <w:lang w:val="en-GB"/>
        </w:rPr>
        <w:t xml:space="preserve">  </w:t>
      </w:r>
    </w:p>
    <w:p w14:paraId="6F303B81" w14:textId="7503219F" w:rsidR="00865F3B" w:rsidRPr="00EC24F7" w:rsidRDefault="00865F3B" w:rsidP="007F01F6">
      <w:pPr>
        <w:numPr>
          <w:ilvl w:val="0"/>
          <w:numId w:val="2"/>
        </w:numPr>
        <w:snapToGrid w:val="0"/>
        <w:spacing w:before="120" w:after="360" w:line="480" w:lineRule="auto"/>
        <w:jc w:val="both"/>
        <w:rPr>
          <w:rFonts w:cs="Arial"/>
          <w:lang w:val="en-GB"/>
        </w:rPr>
      </w:pPr>
      <w:r w:rsidRPr="00EC24F7">
        <w:rPr>
          <w:rFonts w:cs="Arial"/>
          <w:lang w:val="en-GB"/>
        </w:rPr>
        <w:t xml:space="preserve">As part of the internal circulation and assessment process, line departments </w:t>
      </w:r>
      <w:r w:rsidR="00892558" w:rsidRPr="00EC24F7">
        <w:rPr>
          <w:rFonts w:cs="Arial"/>
          <w:lang w:val="en-GB"/>
        </w:rPr>
        <w:t>in determining</w:t>
      </w:r>
      <w:r w:rsidRPr="00EC24F7">
        <w:rPr>
          <w:rFonts w:cs="Arial"/>
          <w:lang w:val="en-GB"/>
        </w:rPr>
        <w:t xml:space="preserve"> whether the properties should be retained for municipal use</w:t>
      </w:r>
      <w:r w:rsidR="00547FD9" w:rsidRPr="00EC24F7">
        <w:rPr>
          <w:rFonts w:cs="Arial"/>
          <w:lang w:val="en-GB"/>
        </w:rPr>
        <w:t xml:space="preserve"> (including for emergency housing)</w:t>
      </w:r>
      <w:r w:rsidR="00892558" w:rsidRPr="00EC24F7">
        <w:rPr>
          <w:rFonts w:cs="Arial"/>
          <w:lang w:val="en-GB"/>
        </w:rPr>
        <w:t xml:space="preserve"> </w:t>
      </w:r>
      <w:r w:rsidR="00892558" w:rsidRPr="00EC24F7">
        <w:rPr>
          <w:rFonts w:cs="Arial"/>
          <w:lang w:val="en-GB"/>
        </w:rPr>
        <w:t>considered a range of factors</w:t>
      </w:r>
      <w:r w:rsidR="00547FD9" w:rsidRPr="00EC24F7">
        <w:rPr>
          <w:rFonts w:cs="Arial"/>
          <w:lang w:val="en-GB"/>
        </w:rPr>
        <w:t xml:space="preserve"> such as</w:t>
      </w:r>
      <w:r w:rsidRPr="00EC24F7">
        <w:rPr>
          <w:rFonts w:cs="Arial"/>
          <w:lang w:val="en-GB"/>
        </w:rPr>
        <w:t xml:space="preserve"> zoning and development potential; extent and configuration of the properties; servitudes, </w:t>
      </w:r>
      <w:r w:rsidRPr="00EC24F7">
        <w:rPr>
          <w:rFonts w:cs="Arial"/>
          <w:lang w:val="en-GB"/>
        </w:rPr>
        <w:lastRenderedPageBreak/>
        <w:t>encumbrances or title deed restrictions; heritage status; environmental sensitivities; relevant spatial development frameworks; and alignment with departmental mandates.</w:t>
      </w:r>
      <w:r w:rsidR="00892558" w:rsidRPr="00EC24F7">
        <w:rPr>
          <w:rStyle w:val="FootnoteReference"/>
          <w:rFonts w:cs="Arial"/>
          <w:lang w:val="en-GB"/>
        </w:rPr>
        <w:footnoteReference w:id="143"/>
      </w:r>
      <w:r w:rsidR="004A3920" w:rsidRPr="00EC24F7">
        <w:rPr>
          <w:rFonts w:cs="Arial"/>
          <w:lang w:val="en-GB"/>
        </w:rPr>
        <w:t xml:space="preserve">  </w:t>
      </w:r>
      <w:r w:rsidRPr="00EC24F7">
        <w:rPr>
          <w:rFonts w:cs="Arial"/>
          <w:lang w:val="en-GB"/>
        </w:rPr>
        <w:t xml:space="preserve">These planning determinations </w:t>
      </w:r>
      <w:r w:rsidR="0032213B" w:rsidRPr="00EC24F7">
        <w:rPr>
          <w:rFonts w:cs="Arial"/>
          <w:lang w:val="en-GB"/>
        </w:rPr>
        <w:t>were</w:t>
      </w:r>
      <w:r w:rsidRPr="00EC24F7">
        <w:rPr>
          <w:rFonts w:cs="Arial"/>
          <w:lang w:val="en-GB"/>
        </w:rPr>
        <w:t xml:space="preserve"> then tested through layered stakeholder engagement and public processes</w:t>
      </w:r>
      <w:r w:rsidR="0032213B" w:rsidRPr="00EC24F7">
        <w:rPr>
          <w:rFonts w:cs="Arial"/>
          <w:lang w:val="en-GB"/>
        </w:rPr>
        <w:t xml:space="preserve"> which included </w:t>
      </w:r>
      <w:r w:rsidRPr="00EC24F7">
        <w:rPr>
          <w:rFonts w:cs="Arial"/>
          <w:lang w:val="en-GB"/>
        </w:rPr>
        <w:t>internal engagements with City line departments</w:t>
      </w:r>
      <w:r w:rsidR="0032213B" w:rsidRPr="00EC24F7">
        <w:rPr>
          <w:rFonts w:cs="Arial"/>
          <w:lang w:val="en-GB"/>
        </w:rPr>
        <w:t xml:space="preserve">; </w:t>
      </w:r>
      <w:r w:rsidRPr="00EC24F7">
        <w:rPr>
          <w:rFonts w:cs="Arial"/>
          <w:lang w:val="en-GB"/>
        </w:rPr>
        <w:t>confirm</w:t>
      </w:r>
      <w:r w:rsidR="0032213B" w:rsidRPr="00EC24F7">
        <w:rPr>
          <w:rFonts w:cs="Arial"/>
          <w:lang w:val="en-GB"/>
        </w:rPr>
        <w:t>ation of</w:t>
      </w:r>
      <w:r w:rsidRPr="00EC24F7">
        <w:rPr>
          <w:rFonts w:cs="Arial"/>
          <w:lang w:val="en-GB"/>
        </w:rPr>
        <w:t xml:space="preserve"> current and future service requirements of the City’s departments; consultations with external stakeholders where necessary; and formal public participation.</w:t>
      </w:r>
      <w:r w:rsidR="004A3920" w:rsidRPr="00EC24F7">
        <w:rPr>
          <w:rStyle w:val="FootnoteReference"/>
          <w:rFonts w:cs="Arial"/>
          <w:lang w:val="en-GB"/>
        </w:rPr>
        <w:footnoteReference w:id="144"/>
      </w:r>
      <w:r w:rsidRPr="00EC24F7">
        <w:rPr>
          <w:rFonts w:cs="Arial"/>
          <w:lang w:val="en-GB"/>
        </w:rPr>
        <w:t xml:space="preserve"> </w:t>
      </w:r>
      <w:r w:rsidR="00ED7D34">
        <w:rPr>
          <w:rFonts w:cs="Arial"/>
          <w:lang w:val="en-GB"/>
        </w:rPr>
        <w:t xml:space="preserve"> </w:t>
      </w:r>
      <w:r w:rsidRPr="00EC24F7">
        <w:rPr>
          <w:rFonts w:cs="Arial"/>
          <w:lang w:val="en-GB"/>
        </w:rPr>
        <w:t>Where City-owned land is identified as being required for any other municipal service delivery, or having reasonable potential in terms of size, topography or zoning for future human settlement development, it is not simply disposed of.</w:t>
      </w:r>
      <w:r w:rsidR="006B657C" w:rsidRPr="00EC24F7">
        <w:rPr>
          <w:rStyle w:val="FootnoteReference"/>
          <w:rFonts w:cs="Arial"/>
          <w:lang w:val="en-GB"/>
        </w:rPr>
        <w:t xml:space="preserve"> </w:t>
      </w:r>
      <w:r w:rsidR="006B657C" w:rsidRPr="00EC24F7">
        <w:rPr>
          <w:rStyle w:val="FootnoteReference"/>
          <w:rFonts w:cs="Arial"/>
          <w:lang w:val="en-GB"/>
        </w:rPr>
        <w:footnoteReference w:id="145"/>
      </w:r>
    </w:p>
    <w:p w14:paraId="7557D996" w14:textId="142DCD12" w:rsidR="00D52492" w:rsidRPr="00EC24F7" w:rsidRDefault="00A849D4" w:rsidP="00D52492">
      <w:pPr>
        <w:numPr>
          <w:ilvl w:val="0"/>
          <w:numId w:val="2"/>
        </w:numPr>
        <w:snapToGrid w:val="0"/>
        <w:spacing w:before="120" w:after="360" w:line="480" w:lineRule="auto"/>
        <w:jc w:val="both"/>
        <w:rPr>
          <w:rFonts w:cs="Arial"/>
          <w:lang w:val="en-GB"/>
        </w:rPr>
      </w:pPr>
      <w:r w:rsidRPr="00EC24F7">
        <w:rPr>
          <w:rFonts w:cs="Arial"/>
          <w:lang w:val="en-GB"/>
        </w:rPr>
        <w:t>The City’s decisions concerning the disposal of municipal assets, the sequencing of land release, and the balancing of competing constitutional and budgetary imperatives are inherently policy-laden and polycentric</w:t>
      </w:r>
      <w:r w:rsidR="005B3A50" w:rsidRPr="00EC24F7">
        <w:rPr>
          <w:rFonts w:cs="Arial"/>
          <w:lang w:val="en-GB"/>
        </w:rPr>
        <w:t>, requiring</w:t>
      </w:r>
      <w:r w:rsidRPr="00EC24F7">
        <w:rPr>
          <w:rFonts w:cs="Arial"/>
          <w:lang w:val="en-GB"/>
        </w:rPr>
        <w:t xml:space="preserve"> an equilibrium to be struck between multiple, often competing considerations (including housing need across income bands, spatial integration, financial sustainability, infrastructure capacity, and the City’s wider service-delivery obligations).</w:t>
      </w:r>
      <w:r w:rsidR="005A420E" w:rsidRPr="00EC24F7">
        <w:rPr>
          <w:rStyle w:val="FootnoteReference"/>
          <w:rFonts w:cs="Arial"/>
          <w:lang w:val="en-GB"/>
        </w:rPr>
        <w:footnoteReference w:id="146"/>
      </w:r>
      <w:r w:rsidRPr="00EC24F7">
        <w:rPr>
          <w:rFonts w:cs="Arial"/>
          <w:lang w:val="en-GB"/>
        </w:rPr>
        <w:t xml:space="preserve">  The current scale and complexity of housing demand in </w:t>
      </w:r>
      <w:r w:rsidR="005A420E" w:rsidRPr="00EC24F7">
        <w:rPr>
          <w:rFonts w:cs="Arial"/>
          <w:lang w:val="en-GB"/>
        </w:rPr>
        <w:t>the City</w:t>
      </w:r>
      <w:r w:rsidRPr="00EC24F7">
        <w:rPr>
          <w:rFonts w:cs="Arial"/>
          <w:lang w:val="en-GB"/>
        </w:rPr>
        <w:t xml:space="preserve"> underscores why housing-related decisions (including land release, sequencing of projects, budgeting, and the balancing of competing constitutional obligations) are inherently polycentric.</w:t>
      </w:r>
      <w:r w:rsidR="005B3A50" w:rsidRPr="00EC24F7">
        <w:rPr>
          <w:rStyle w:val="FootnoteReference"/>
          <w:rFonts w:cs="Arial"/>
          <w:lang w:val="en-GB"/>
        </w:rPr>
        <w:footnoteReference w:id="147"/>
      </w:r>
    </w:p>
    <w:p w14:paraId="2E8B771C" w14:textId="70EDCD9F" w:rsidR="00D52492" w:rsidRPr="00EC24F7" w:rsidRDefault="00D52492" w:rsidP="00D52492">
      <w:pPr>
        <w:numPr>
          <w:ilvl w:val="0"/>
          <w:numId w:val="2"/>
        </w:numPr>
        <w:snapToGrid w:val="0"/>
        <w:spacing w:before="120" w:after="360" w:line="480" w:lineRule="auto"/>
        <w:jc w:val="both"/>
        <w:rPr>
          <w:rFonts w:cs="Arial"/>
          <w:lang w:val="en-GB"/>
        </w:rPr>
      </w:pPr>
      <w:r w:rsidRPr="00EC24F7">
        <w:rPr>
          <w:rFonts w:cs="Arial"/>
          <w:lang w:val="en-GB"/>
        </w:rPr>
        <w:t xml:space="preserve">In any event </w:t>
      </w:r>
      <w:r w:rsidRPr="00EC24F7">
        <w:rPr>
          <w:rFonts w:cs="Arial"/>
          <w:lang w:val="en-GB"/>
        </w:rPr>
        <w:t>the City’s Property Transactions Department</w:t>
      </w:r>
      <w:r w:rsidRPr="00EC24F7">
        <w:rPr>
          <w:rFonts w:cs="Arial"/>
          <w:lang w:val="en-GB"/>
        </w:rPr>
        <w:t xml:space="preserve">  received </w:t>
      </w:r>
      <w:r w:rsidRPr="00EC24F7">
        <w:rPr>
          <w:rFonts w:cs="Arial"/>
          <w:lang w:val="en-GB"/>
        </w:rPr>
        <w:t xml:space="preserve">no confirmations of interest in reserving any of the properties referred to </w:t>
      </w:r>
      <w:r w:rsidRPr="00EC24F7">
        <w:rPr>
          <w:rFonts w:cs="Arial"/>
          <w:lang w:val="en-GB"/>
        </w:rPr>
        <w:t xml:space="preserve">by Transnet </w:t>
      </w:r>
      <w:r w:rsidRPr="00EC24F7">
        <w:rPr>
          <w:rFonts w:cs="Arial"/>
          <w:lang w:val="en-GB"/>
        </w:rPr>
        <w:lastRenderedPageBreak/>
        <w:t>for municipal purposes as contemplated by s 14 of the MFMA.</w:t>
      </w:r>
      <w:r w:rsidR="009F0E71" w:rsidRPr="00EC24F7">
        <w:rPr>
          <w:rStyle w:val="FootnoteReference"/>
          <w:rFonts w:cs="Arial"/>
          <w:lang w:val="en-GB"/>
        </w:rPr>
        <w:footnoteReference w:id="148"/>
      </w:r>
      <w:r w:rsidRPr="00EC24F7">
        <w:rPr>
          <w:rFonts w:cs="Arial"/>
          <w:lang w:val="en-GB"/>
        </w:rPr>
        <w:t xml:space="preserve">  </w:t>
      </w:r>
      <w:r w:rsidRPr="00EC24F7">
        <w:rPr>
          <w:rFonts w:cs="Arial"/>
          <w:lang w:val="en-GB"/>
        </w:rPr>
        <w:t>C</w:t>
      </w:r>
      <w:r w:rsidRPr="00EC24F7">
        <w:rPr>
          <w:rFonts w:cs="Arial"/>
          <w:lang w:val="en-GB"/>
        </w:rPr>
        <w:t>omprehensive public participation processes were followed in respect of each of the properties which have been auctioned as required by the MATR.</w:t>
      </w:r>
      <w:r w:rsidR="00951B37" w:rsidRPr="00EC24F7">
        <w:rPr>
          <w:rStyle w:val="FootnoteReference"/>
          <w:rFonts w:cs="Arial"/>
          <w:lang w:val="en-GB"/>
        </w:rPr>
        <w:footnoteReference w:id="149"/>
      </w:r>
      <w:r w:rsidRPr="00EC24F7">
        <w:rPr>
          <w:rFonts w:cs="Arial"/>
          <w:lang w:val="en-GB"/>
        </w:rPr>
        <w:t xml:space="preserve">  </w:t>
      </w:r>
      <w:r w:rsidRPr="00EC24F7">
        <w:rPr>
          <w:rFonts w:cs="Arial"/>
          <w:lang w:val="en-GB"/>
        </w:rPr>
        <w:t>W</w:t>
      </w:r>
      <w:r w:rsidRPr="00EC24F7">
        <w:rPr>
          <w:rFonts w:cs="Arial"/>
          <w:lang w:val="en-GB"/>
        </w:rPr>
        <w:t>here line departments proposed conditions to be attached to the disposals, or made substantive comments, these were incorporated into the reports submitted to Council</w:t>
      </w:r>
      <w:r w:rsidRPr="00EC24F7">
        <w:rPr>
          <w:rFonts w:cs="Arial"/>
          <w:lang w:val="en-GB"/>
        </w:rPr>
        <w:t xml:space="preserve"> se</w:t>
      </w:r>
      <w:r w:rsidRPr="00EC24F7">
        <w:rPr>
          <w:rFonts w:cs="Arial"/>
          <w:lang w:val="en-GB"/>
        </w:rPr>
        <w:t>eking in</w:t>
      </w:r>
      <w:r w:rsidRPr="00EC24F7">
        <w:rPr>
          <w:rFonts w:cs="Arial"/>
          <w:lang w:val="en-GB"/>
        </w:rPr>
        <w:noBreakHyphen/>
        <w:t>principle approval for the disposal of each propert</w:t>
      </w:r>
      <w:r w:rsidRPr="00EC24F7">
        <w:rPr>
          <w:rFonts w:cs="Arial"/>
          <w:lang w:val="en-GB"/>
        </w:rPr>
        <w:t>y, which reports also</w:t>
      </w:r>
      <w:r w:rsidRPr="00EC24F7">
        <w:rPr>
          <w:rFonts w:cs="Arial"/>
          <w:lang w:val="en-GB"/>
        </w:rPr>
        <w:t xml:space="preserve"> contained all the detail/information required to make the s 14 determinations; the medium of publication of public notices calling for comments as part of the public participation processes; the dates of the public participation process; and any objections, comments or representations received from the public participation processes.</w:t>
      </w:r>
      <w:r w:rsidR="00951B37" w:rsidRPr="00EC24F7">
        <w:rPr>
          <w:rStyle w:val="FootnoteReference"/>
          <w:rFonts w:cs="Arial"/>
          <w:lang w:val="en-GB"/>
        </w:rPr>
        <w:footnoteReference w:id="150"/>
      </w:r>
      <w:r w:rsidRPr="00EC24F7">
        <w:rPr>
          <w:rFonts w:cs="Arial"/>
          <w:lang w:val="en-GB"/>
        </w:rPr>
        <w:t xml:space="preserve"> After considering all the relevant information the Council determined on reasonable grounds that the properties were not required for the provision of municipal services as contemplated by s 14 of the MFMA.</w:t>
      </w:r>
      <w:r w:rsidR="00150CFD" w:rsidRPr="00EC24F7">
        <w:rPr>
          <w:rStyle w:val="FootnoteReference"/>
          <w:rFonts w:cs="Arial"/>
          <w:lang w:val="en-GB"/>
        </w:rPr>
        <w:footnoteReference w:id="151"/>
      </w:r>
      <w:r w:rsidRPr="00EC24F7">
        <w:rPr>
          <w:rFonts w:cs="Arial"/>
          <w:lang w:val="en-GB"/>
        </w:rPr>
        <w:t xml:space="preserve">  </w:t>
      </w:r>
      <w:r w:rsidR="009F0E71" w:rsidRPr="00EC24F7">
        <w:rPr>
          <w:rFonts w:cs="Arial"/>
          <w:lang w:val="en-GB"/>
        </w:rPr>
        <w:t>Consequently there can be doubt that</w:t>
      </w:r>
      <w:r w:rsidRPr="00EC24F7">
        <w:rPr>
          <w:rFonts w:cs="Arial"/>
          <w:lang w:val="en-GB"/>
        </w:rPr>
        <w:t xml:space="preserve"> a lawful process was followed and it was determined on reasonable grounds that the properties were not required for, </w:t>
      </w:r>
      <w:r w:rsidRPr="00EC24F7">
        <w:rPr>
          <w:rFonts w:cs="Arial"/>
          <w:i/>
          <w:iCs/>
          <w:lang w:val="en-GB"/>
        </w:rPr>
        <w:t>inter alia</w:t>
      </w:r>
      <w:r w:rsidRPr="00EC24F7">
        <w:rPr>
          <w:rFonts w:cs="Arial"/>
          <w:lang w:val="en-GB"/>
        </w:rPr>
        <w:t>, human settlements purposes which would include emergency housing purposes.</w:t>
      </w:r>
    </w:p>
    <w:p w14:paraId="596E34CD" w14:textId="6004C490" w:rsidR="008E2213" w:rsidRPr="00EC24F7" w:rsidRDefault="004E7882" w:rsidP="008E2213">
      <w:pPr>
        <w:numPr>
          <w:ilvl w:val="0"/>
          <w:numId w:val="2"/>
        </w:numPr>
        <w:snapToGrid w:val="0"/>
        <w:spacing w:before="120" w:after="360" w:line="480" w:lineRule="auto"/>
        <w:jc w:val="both"/>
        <w:rPr>
          <w:rStyle w:val="ssparacontent"/>
          <w:rFonts w:cs="Arial"/>
          <w:lang w:val="en-GB"/>
        </w:rPr>
      </w:pPr>
      <w:r w:rsidRPr="00EC24F7">
        <w:rPr>
          <w:rFonts w:cs="Arial"/>
        </w:rPr>
        <w:t xml:space="preserve">There is no profit motive behind </w:t>
      </w:r>
      <w:r w:rsidRPr="00EC24F7">
        <w:rPr>
          <w:rFonts w:cs="Arial"/>
        </w:rPr>
        <w:t>the City’s</w:t>
      </w:r>
      <w:r w:rsidRPr="00EC24F7">
        <w:rPr>
          <w:rFonts w:cs="Arial"/>
        </w:rPr>
        <w:t xml:space="preserve"> disposal</w:t>
      </w:r>
      <w:r w:rsidRPr="00EC24F7">
        <w:rPr>
          <w:rFonts w:cs="Arial"/>
        </w:rPr>
        <w:t xml:space="preserve"> of </w:t>
      </w:r>
      <w:r w:rsidR="00CD5C2D" w:rsidRPr="00EC24F7">
        <w:rPr>
          <w:rFonts w:cs="Arial"/>
        </w:rPr>
        <w:t xml:space="preserve">the properties </w:t>
      </w:r>
      <w:r w:rsidR="00CD5C2D" w:rsidRPr="00EC24F7">
        <w:rPr>
          <w:rFonts w:cs="Arial"/>
          <w:lang w:val="en-GB"/>
        </w:rPr>
        <w:t>identified by Transnet</w:t>
      </w:r>
      <w:r w:rsidR="00CD5C2D" w:rsidRPr="00EC24F7">
        <w:rPr>
          <w:rFonts w:cs="Arial"/>
        </w:rPr>
        <w:t xml:space="preserve"> and </w:t>
      </w:r>
      <w:r w:rsidR="00CD5C2D" w:rsidRPr="00EC24F7">
        <w:rPr>
          <w:rFonts w:cs="Arial"/>
          <w:lang w:val="en-GB"/>
        </w:rPr>
        <w:t>the revenue received from the disposal</w:t>
      </w:r>
      <w:r w:rsidR="00CD5C2D" w:rsidRPr="00EC24F7">
        <w:rPr>
          <w:rFonts w:cs="Arial"/>
          <w:lang w:val="en-GB"/>
        </w:rPr>
        <w:t>s</w:t>
      </w:r>
      <w:r w:rsidR="00CD5C2D" w:rsidRPr="00EC24F7">
        <w:rPr>
          <w:rFonts w:cs="Arial"/>
          <w:lang w:val="en-GB"/>
        </w:rPr>
        <w:t xml:space="preserve"> will go directly into the City’s capital budget </w:t>
      </w:r>
      <w:r w:rsidR="000553A4" w:rsidRPr="00EC24F7">
        <w:rPr>
          <w:rFonts w:cs="Arial"/>
          <w:lang w:val="en-GB"/>
        </w:rPr>
        <w:t>for</w:t>
      </w:r>
      <w:r w:rsidR="00CD5C2D" w:rsidRPr="00EC24F7">
        <w:rPr>
          <w:rFonts w:cs="Arial"/>
          <w:lang w:val="en-GB"/>
        </w:rPr>
        <w:t xml:space="preserve"> service delivery needs </w:t>
      </w:r>
      <w:r w:rsidR="000553A4" w:rsidRPr="00EC24F7">
        <w:rPr>
          <w:rFonts w:cs="Arial"/>
          <w:lang w:val="en-GB"/>
        </w:rPr>
        <w:t>to</w:t>
      </w:r>
      <w:r w:rsidR="00CD5C2D" w:rsidRPr="00EC24F7">
        <w:rPr>
          <w:rFonts w:cs="Arial"/>
          <w:lang w:val="en-GB"/>
        </w:rPr>
        <w:t xml:space="preserve"> be spent this financial year.</w:t>
      </w:r>
      <w:r w:rsidRPr="00EC24F7">
        <w:rPr>
          <w:rStyle w:val="FootnoteReference"/>
          <w:rFonts w:cs="Arial"/>
        </w:rPr>
        <w:footnoteReference w:id="152"/>
      </w:r>
      <w:r w:rsidR="003E1C86" w:rsidRPr="00EC24F7">
        <w:rPr>
          <w:rFonts w:cs="Arial"/>
          <w:lang w:val="en-GB"/>
        </w:rPr>
        <w:t xml:space="preserve">  </w:t>
      </w:r>
      <w:r w:rsidR="006B7940" w:rsidRPr="00EC24F7">
        <w:rPr>
          <w:rFonts w:cs="Arial"/>
          <w:lang w:val="en-GB"/>
        </w:rPr>
        <w:t>C</w:t>
      </w:r>
      <w:r w:rsidR="006B7940" w:rsidRPr="00EC24F7">
        <w:rPr>
          <w:rFonts w:cs="Arial"/>
          <w:lang w:val="en-GB"/>
        </w:rPr>
        <w:t xml:space="preserve">ompetitive offers have been made in consequence of the auction in respect of </w:t>
      </w:r>
      <w:r w:rsidR="006B7940" w:rsidRPr="00EC24F7">
        <w:rPr>
          <w:rFonts w:cs="Arial"/>
          <w:u w:val="single"/>
          <w:lang w:val="en-GB"/>
        </w:rPr>
        <w:t>all</w:t>
      </w:r>
      <w:r w:rsidR="006B7940" w:rsidRPr="00EC24F7">
        <w:rPr>
          <w:rFonts w:cs="Arial"/>
          <w:lang w:val="en-GB"/>
        </w:rPr>
        <w:t xml:space="preserve"> of the properties </w:t>
      </w:r>
      <w:r w:rsidR="006B7940" w:rsidRPr="00EC24F7">
        <w:rPr>
          <w:rFonts w:cs="Arial"/>
          <w:lang w:val="en-GB"/>
        </w:rPr>
        <w:t xml:space="preserve">which have now </w:t>
      </w:r>
      <w:r w:rsidR="006B7940" w:rsidRPr="00EC24F7">
        <w:rPr>
          <w:rFonts w:cs="Arial"/>
          <w:lang w:val="en-GB"/>
        </w:rPr>
        <w:t>been auctioned and</w:t>
      </w:r>
      <w:r w:rsidR="006B7940" w:rsidRPr="00EC24F7">
        <w:rPr>
          <w:rFonts w:cs="Arial"/>
          <w:lang w:val="en-GB"/>
        </w:rPr>
        <w:t xml:space="preserve"> as a consequence</w:t>
      </w:r>
      <w:r w:rsidR="006B7940" w:rsidRPr="00EC24F7">
        <w:rPr>
          <w:rFonts w:cs="Arial"/>
          <w:lang w:val="en-GB"/>
        </w:rPr>
        <w:t xml:space="preserve"> it is </w:t>
      </w:r>
      <w:r w:rsidR="006B7940" w:rsidRPr="00EC24F7">
        <w:rPr>
          <w:rFonts w:cs="Arial"/>
          <w:lang w:val="en-GB"/>
        </w:rPr>
        <w:lastRenderedPageBreak/>
        <w:t>not open to</w:t>
      </w:r>
      <w:r w:rsidR="006B7940" w:rsidRPr="00EC24F7">
        <w:rPr>
          <w:rStyle w:val="ssparacontent"/>
          <w:rFonts w:cs="Arial"/>
          <w:lang w:val="en-GB"/>
        </w:rPr>
        <w:t xml:space="preserve"> the City </w:t>
      </w:r>
      <w:r w:rsidR="007012F1" w:rsidRPr="00EC24F7">
        <w:rPr>
          <w:rStyle w:val="ssparacontent"/>
          <w:rFonts w:cs="Arial"/>
          <w:lang w:val="en-GB"/>
        </w:rPr>
        <w:t>(</w:t>
      </w:r>
      <w:r w:rsidR="00CB4E27" w:rsidRPr="00EC24F7">
        <w:rPr>
          <w:rStyle w:val="ssparacontent"/>
          <w:rFonts w:cs="Arial"/>
          <w:lang w:val="en-GB"/>
        </w:rPr>
        <w:t>or indeed the Court</w:t>
      </w:r>
      <w:r w:rsidR="007012F1" w:rsidRPr="00EC24F7">
        <w:rPr>
          <w:rStyle w:val="ssparacontent"/>
          <w:rFonts w:cs="Arial"/>
          <w:lang w:val="en-GB"/>
        </w:rPr>
        <w:t>)</w:t>
      </w:r>
      <w:r w:rsidR="00CB4E27" w:rsidRPr="00EC24F7">
        <w:rPr>
          <w:rStyle w:val="ssparacontent"/>
          <w:rFonts w:cs="Arial"/>
          <w:lang w:val="en-GB"/>
        </w:rPr>
        <w:t xml:space="preserve"> </w:t>
      </w:r>
      <w:r w:rsidR="006B7940" w:rsidRPr="00EC24F7">
        <w:rPr>
          <w:rStyle w:val="ssparacontent"/>
          <w:rFonts w:cs="Arial"/>
          <w:lang w:val="en-GB"/>
        </w:rPr>
        <w:t>to reverse these decisions as Transnet suggests</w:t>
      </w:r>
      <w:r w:rsidR="00BA69B7" w:rsidRPr="00EC24F7">
        <w:rPr>
          <w:rStyle w:val="ssparacontent"/>
          <w:rFonts w:cs="Arial"/>
          <w:lang w:val="en-GB"/>
        </w:rPr>
        <w:t xml:space="preserve"> without </w:t>
      </w:r>
      <w:r w:rsidR="006B7940" w:rsidRPr="00EC24F7">
        <w:rPr>
          <w:rStyle w:val="ssparacontent"/>
          <w:rFonts w:cs="Arial"/>
          <w:lang w:val="en-GB"/>
        </w:rPr>
        <w:t>any factual or legal basis</w:t>
      </w:r>
      <w:r w:rsidR="008E2213" w:rsidRPr="00EC24F7">
        <w:rPr>
          <w:rStyle w:val="FootnoteReference"/>
          <w:rFonts w:cs="Arial"/>
          <w:lang w:val="en-GB"/>
        </w:rPr>
        <w:footnoteReference w:id="153"/>
      </w:r>
      <w:r w:rsidR="00CB4E27" w:rsidRPr="00EC24F7">
        <w:rPr>
          <w:rStyle w:val="ssparacontent"/>
          <w:rFonts w:cs="Arial"/>
          <w:lang w:val="en-GB"/>
        </w:rPr>
        <w:t xml:space="preserve"> </w:t>
      </w:r>
    </w:p>
    <w:p w14:paraId="07665FF6" w14:textId="4D238822" w:rsidR="00225D5E" w:rsidRPr="00EC24F7" w:rsidRDefault="009A48FC" w:rsidP="007055DA">
      <w:pPr>
        <w:numPr>
          <w:ilvl w:val="0"/>
          <w:numId w:val="2"/>
        </w:numPr>
        <w:snapToGrid w:val="0"/>
        <w:spacing w:before="120" w:after="360" w:line="480" w:lineRule="auto"/>
        <w:jc w:val="both"/>
        <w:rPr>
          <w:rFonts w:cs="Arial"/>
          <w:lang w:val="en-GB"/>
        </w:rPr>
      </w:pPr>
      <w:r w:rsidRPr="00EC24F7">
        <w:rPr>
          <w:rFonts w:cs="Arial"/>
          <w:lang w:val="en-GB"/>
        </w:rPr>
        <w:t xml:space="preserve">Despite the fact that the </w:t>
      </w:r>
      <w:r w:rsidR="00EC42DB" w:rsidRPr="00EC24F7">
        <w:rPr>
          <w:rFonts w:cs="Arial"/>
          <w:lang w:val="en-GB"/>
        </w:rPr>
        <w:t xml:space="preserve">disposal </w:t>
      </w:r>
      <w:r w:rsidR="00EC42DB" w:rsidRPr="00EC24F7">
        <w:rPr>
          <w:rFonts w:cs="Arial"/>
          <w:lang w:val="en-GB"/>
        </w:rPr>
        <w:t xml:space="preserve">process </w:t>
      </w:r>
      <w:r w:rsidRPr="00EC24F7">
        <w:rPr>
          <w:rFonts w:cs="Arial"/>
          <w:lang w:val="en-GB"/>
        </w:rPr>
        <w:t xml:space="preserve">in respect of </w:t>
      </w:r>
      <w:r w:rsidR="00EC42DB" w:rsidRPr="00EC24F7">
        <w:rPr>
          <w:rFonts w:cs="Arial"/>
          <w:lang w:val="en-GB"/>
        </w:rPr>
        <w:t>these properties has been in the public domain for many years</w:t>
      </w:r>
      <w:r w:rsidR="007055DA" w:rsidRPr="00EC24F7">
        <w:rPr>
          <w:rFonts w:cs="Arial"/>
          <w:lang w:val="en-GB"/>
        </w:rPr>
        <w:t xml:space="preserve"> </w:t>
      </w:r>
      <w:r w:rsidR="007055DA" w:rsidRPr="00EC24F7">
        <w:rPr>
          <w:rFonts w:cs="Arial"/>
          <w:lang w:val="en-GB"/>
        </w:rPr>
        <w:t>prior to the auction which took place on 26 February 2026</w:t>
      </w:r>
      <w:r w:rsidRPr="00EC24F7">
        <w:rPr>
          <w:rFonts w:cs="Arial"/>
          <w:lang w:val="en-GB"/>
        </w:rPr>
        <w:t xml:space="preserve">, and </w:t>
      </w:r>
      <w:r w:rsidR="007055DA" w:rsidRPr="00EC24F7">
        <w:rPr>
          <w:rFonts w:cs="Arial"/>
          <w:lang w:val="en-GB"/>
        </w:rPr>
        <w:t xml:space="preserve">despite </w:t>
      </w:r>
      <w:r w:rsidR="00EC42DB" w:rsidRPr="00EC24F7">
        <w:rPr>
          <w:rFonts w:cs="Arial"/>
          <w:lang w:val="en-GB"/>
        </w:rPr>
        <w:t xml:space="preserve">all of the relevant information relating to the disposal including the Council resolutions </w:t>
      </w:r>
      <w:r w:rsidRPr="00EC24F7">
        <w:rPr>
          <w:rFonts w:cs="Arial"/>
          <w:lang w:val="en-GB"/>
        </w:rPr>
        <w:t>being</w:t>
      </w:r>
      <w:r w:rsidR="00EC42DB" w:rsidRPr="00EC24F7">
        <w:rPr>
          <w:rFonts w:cs="Arial"/>
          <w:lang w:val="en-GB"/>
        </w:rPr>
        <w:t xml:space="preserve"> in the public domain</w:t>
      </w:r>
      <w:r w:rsidR="007055DA" w:rsidRPr="00EC24F7">
        <w:rPr>
          <w:rFonts w:cs="Arial"/>
          <w:lang w:val="en-GB"/>
        </w:rPr>
        <w:t xml:space="preserve">, </w:t>
      </w:r>
      <w:r w:rsidR="00EC42DB" w:rsidRPr="00EC24F7">
        <w:rPr>
          <w:rFonts w:cs="Arial"/>
          <w:lang w:val="en-GB"/>
        </w:rPr>
        <w:t>Transnet fail</w:t>
      </w:r>
      <w:r w:rsidR="007055DA" w:rsidRPr="00EC24F7">
        <w:rPr>
          <w:rFonts w:cs="Arial"/>
          <w:lang w:val="en-GB"/>
        </w:rPr>
        <w:t>s</w:t>
      </w:r>
      <w:r w:rsidR="00EC42DB" w:rsidRPr="00EC24F7">
        <w:rPr>
          <w:rFonts w:cs="Arial"/>
          <w:lang w:val="en-GB"/>
        </w:rPr>
        <w:t xml:space="preserve"> to </w:t>
      </w:r>
      <w:r w:rsidR="007055DA" w:rsidRPr="00EC24F7">
        <w:rPr>
          <w:rFonts w:cs="Arial"/>
          <w:lang w:val="en-GB"/>
        </w:rPr>
        <w:t xml:space="preserve">even </w:t>
      </w:r>
      <w:r w:rsidR="00EC42DB" w:rsidRPr="00EC24F7">
        <w:rPr>
          <w:rFonts w:cs="Arial"/>
          <w:lang w:val="en-GB"/>
        </w:rPr>
        <w:t>refer with any of the publicly available information in support of its speculative conclusions.</w:t>
      </w:r>
      <w:r w:rsidR="007055DA" w:rsidRPr="00EC24F7">
        <w:rPr>
          <w:rStyle w:val="FootnoteReference"/>
          <w:rFonts w:cs="Arial"/>
          <w:lang w:val="en-GB"/>
        </w:rPr>
        <w:footnoteReference w:id="154"/>
      </w:r>
      <w:r w:rsidR="007055DA" w:rsidRPr="00EC24F7">
        <w:rPr>
          <w:rFonts w:cs="Arial"/>
          <w:lang w:val="en-GB"/>
        </w:rPr>
        <w:t xml:space="preserve">  </w:t>
      </w:r>
      <w:r w:rsidR="00225D5E" w:rsidRPr="00EC24F7">
        <w:rPr>
          <w:rFonts w:cs="Arial"/>
        </w:rPr>
        <w:t>Transnet’s</w:t>
      </w:r>
      <w:r w:rsidR="00225D5E" w:rsidRPr="00EC24F7">
        <w:rPr>
          <w:rFonts w:cs="Arial"/>
        </w:rPr>
        <w:t xml:space="preserve"> attempt to establish the properties' suitability for </w:t>
      </w:r>
      <w:r w:rsidR="00225D5E" w:rsidRPr="00EC24F7">
        <w:rPr>
          <w:rFonts w:cs="Arial"/>
        </w:rPr>
        <w:t xml:space="preserve">emergency </w:t>
      </w:r>
      <w:r w:rsidR="00225D5E" w:rsidRPr="00EC24F7">
        <w:rPr>
          <w:rFonts w:cs="Arial"/>
        </w:rPr>
        <w:t xml:space="preserve">housing via a mere internet search is an exercise in speculation rather than evidence. </w:t>
      </w:r>
      <w:r w:rsidR="006A702D" w:rsidRPr="00EC24F7">
        <w:rPr>
          <w:rFonts w:cs="Arial"/>
        </w:rPr>
        <w:t xml:space="preserve"> </w:t>
      </w:r>
      <w:r w:rsidR="00225D5E" w:rsidRPr="00EC24F7">
        <w:rPr>
          <w:rFonts w:cs="Arial"/>
        </w:rPr>
        <w:t xml:space="preserve">To ask this Court to </w:t>
      </w:r>
      <w:r w:rsidR="00A6720F" w:rsidRPr="00EC24F7">
        <w:rPr>
          <w:rFonts w:cs="Arial"/>
        </w:rPr>
        <w:t xml:space="preserve">make </w:t>
      </w:r>
      <w:r w:rsidR="00C172B2" w:rsidRPr="00EC24F7">
        <w:rPr>
          <w:rFonts w:cs="Arial"/>
        </w:rPr>
        <w:t xml:space="preserve">such </w:t>
      </w:r>
      <w:r w:rsidR="00A6720F" w:rsidRPr="00EC24F7">
        <w:rPr>
          <w:rFonts w:cs="Arial"/>
        </w:rPr>
        <w:t>a far-reaching finding</w:t>
      </w:r>
      <w:r w:rsidR="00225D5E" w:rsidRPr="00EC24F7">
        <w:rPr>
          <w:rFonts w:cs="Arial"/>
        </w:rPr>
        <w:t xml:space="preserve"> </w:t>
      </w:r>
      <w:r w:rsidR="00054734" w:rsidRPr="00EC24F7">
        <w:rPr>
          <w:rFonts w:cs="Arial"/>
        </w:rPr>
        <w:t>without a</w:t>
      </w:r>
      <w:r w:rsidR="00054734" w:rsidRPr="00EC24F7">
        <w:rPr>
          <w:rFonts w:cs="Arial"/>
        </w:rPr>
        <w:t>ny</w:t>
      </w:r>
      <w:r w:rsidR="00054734" w:rsidRPr="00EC24F7">
        <w:rPr>
          <w:rFonts w:cs="Arial"/>
        </w:rPr>
        <w:t xml:space="preserve"> factual foundation</w:t>
      </w:r>
      <w:r w:rsidR="00225D5E" w:rsidRPr="00EC24F7">
        <w:rPr>
          <w:rFonts w:cs="Arial"/>
        </w:rPr>
        <w:t xml:space="preserve"> is an affront to the rules of evidence. </w:t>
      </w:r>
      <w:r w:rsidR="00D23A53">
        <w:rPr>
          <w:rFonts w:cs="Arial"/>
        </w:rPr>
        <w:t xml:space="preserve"> </w:t>
      </w:r>
      <w:r w:rsidR="00225D5E" w:rsidRPr="00EC24F7">
        <w:rPr>
          <w:rFonts w:cs="Arial"/>
        </w:rPr>
        <w:t>The argument need only be stated to be rejected.</w:t>
      </w:r>
      <w:r w:rsidR="00681C22" w:rsidRPr="00EC24F7">
        <w:rPr>
          <w:rFonts w:cs="Arial"/>
        </w:rPr>
        <w:t xml:space="preserve">  Quite aside from the fact that this </w:t>
      </w:r>
      <w:r w:rsidR="007012F1" w:rsidRPr="00EC24F7">
        <w:rPr>
          <w:rFonts w:cs="Arial"/>
        </w:rPr>
        <w:t>assertion</w:t>
      </w:r>
      <w:r w:rsidR="00681C22" w:rsidRPr="00EC24F7">
        <w:rPr>
          <w:rFonts w:cs="Arial"/>
        </w:rPr>
        <w:t xml:space="preserve"> is impermissibly raised for the first time in reply.</w:t>
      </w:r>
      <w:r w:rsidR="006C047A" w:rsidRPr="00EC24F7">
        <w:rPr>
          <w:rStyle w:val="FootnoteReference"/>
          <w:rFonts w:cs="Arial"/>
        </w:rPr>
        <w:footnoteReference w:id="155"/>
      </w:r>
    </w:p>
    <w:p w14:paraId="1AAE6274" w14:textId="672A61AE" w:rsidR="00A849D4" w:rsidRPr="00EC24F7" w:rsidRDefault="00C75768" w:rsidP="00A849D4">
      <w:pPr>
        <w:numPr>
          <w:ilvl w:val="0"/>
          <w:numId w:val="2"/>
        </w:numPr>
        <w:snapToGrid w:val="0"/>
        <w:spacing w:before="120" w:after="360" w:line="480" w:lineRule="auto"/>
        <w:jc w:val="both"/>
        <w:rPr>
          <w:rStyle w:val="ssparacontent"/>
          <w:rFonts w:cs="Arial"/>
          <w:lang w:val="en-GB"/>
        </w:rPr>
      </w:pPr>
      <w:r w:rsidRPr="00EC24F7">
        <w:rPr>
          <w:rStyle w:val="ssparacontent"/>
          <w:rFonts w:cs="Arial"/>
          <w:lang w:val="en-GB"/>
        </w:rPr>
        <w:t>Moreover</w:t>
      </w:r>
      <w:r w:rsidR="00D23A53">
        <w:rPr>
          <w:rStyle w:val="ssparacontent"/>
          <w:rFonts w:cs="Arial"/>
          <w:lang w:val="en-GB"/>
        </w:rPr>
        <w:t>,</w:t>
      </w:r>
      <w:r w:rsidRPr="00EC24F7">
        <w:rPr>
          <w:rStyle w:val="ssparacontent"/>
          <w:rFonts w:cs="Arial"/>
          <w:lang w:val="en-GB"/>
        </w:rPr>
        <w:t xml:space="preserve"> </w:t>
      </w:r>
      <w:r w:rsidRPr="00EC24F7">
        <w:rPr>
          <w:rStyle w:val="ssparacontent"/>
          <w:rFonts w:cs="Arial"/>
          <w:lang w:val="en-GB"/>
        </w:rPr>
        <w:t xml:space="preserve">even if the City’s decisions could be reversed </w:t>
      </w:r>
      <w:r w:rsidR="003441DA" w:rsidRPr="00EC24F7">
        <w:rPr>
          <w:rStyle w:val="ssparacontent"/>
          <w:rFonts w:cs="Arial"/>
          <w:lang w:val="en-GB"/>
        </w:rPr>
        <w:t>(</w:t>
      </w:r>
      <w:r w:rsidRPr="00EC24F7">
        <w:rPr>
          <w:rStyle w:val="ssparacontent"/>
          <w:rFonts w:cs="Arial"/>
          <w:lang w:val="en-GB"/>
        </w:rPr>
        <w:t>which they cannot</w:t>
      </w:r>
      <w:r w:rsidR="003441DA" w:rsidRPr="00EC24F7">
        <w:rPr>
          <w:rStyle w:val="ssparacontent"/>
          <w:rFonts w:cs="Arial"/>
          <w:lang w:val="en-GB"/>
        </w:rPr>
        <w:t>)</w:t>
      </w:r>
      <w:r w:rsidRPr="00EC24F7">
        <w:rPr>
          <w:rStyle w:val="ssparacontent"/>
          <w:rFonts w:cs="Arial"/>
          <w:lang w:val="en-GB"/>
        </w:rPr>
        <w:t xml:space="preserve"> </w:t>
      </w:r>
      <w:r w:rsidRPr="00EC24F7">
        <w:rPr>
          <w:rStyle w:val="ssparacontent"/>
          <w:rFonts w:cs="Arial"/>
          <w:lang w:val="en-GB"/>
        </w:rPr>
        <w:t xml:space="preserve">the majority of the properties identified by Transnet </w:t>
      </w:r>
      <w:r w:rsidRPr="00EC24F7">
        <w:rPr>
          <w:rStyle w:val="ssparacontent"/>
          <w:rFonts w:cs="Arial"/>
          <w:lang w:val="en-GB"/>
        </w:rPr>
        <w:t xml:space="preserve">are significantly smaller than the size required to house the unlawful occupiers should any eviction order </w:t>
      </w:r>
      <w:r w:rsidRPr="00EC24F7">
        <w:rPr>
          <w:rStyle w:val="ssparacontent"/>
          <w:rFonts w:cs="Arial"/>
          <w:lang w:val="en-GB"/>
        </w:rPr>
        <w:t>require</w:t>
      </w:r>
      <w:r w:rsidRPr="00EC24F7">
        <w:rPr>
          <w:rStyle w:val="ssparacontent"/>
          <w:rFonts w:cs="Arial"/>
          <w:lang w:val="en-GB"/>
        </w:rPr>
        <w:t xml:space="preserve"> the provision of emergency housing.</w:t>
      </w:r>
      <w:r w:rsidRPr="00EC24F7">
        <w:rPr>
          <w:rStyle w:val="ssparacontent"/>
          <w:rFonts w:cs="Arial"/>
          <w:lang w:val="en-GB"/>
        </w:rPr>
        <w:t xml:space="preserve">  </w:t>
      </w:r>
    </w:p>
    <w:p w14:paraId="125DECED" w14:textId="0D73F2D1" w:rsidR="00C75F44" w:rsidRPr="00EC24F7" w:rsidRDefault="000A0AD0" w:rsidP="000946F7">
      <w:pPr>
        <w:numPr>
          <w:ilvl w:val="0"/>
          <w:numId w:val="2"/>
        </w:numPr>
        <w:snapToGrid w:val="0"/>
        <w:spacing w:before="120" w:after="360" w:line="480" w:lineRule="auto"/>
        <w:jc w:val="both"/>
        <w:rPr>
          <w:rFonts w:cs="Arial"/>
          <w:lang w:val="en-GB"/>
        </w:rPr>
      </w:pPr>
      <w:r w:rsidRPr="00EC24F7">
        <w:rPr>
          <w:rFonts w:cs="Arial"/>
          <w:lang w:val="en-GB"/>
        </w:rPr>
        <w:t xml:space="preserve">If one were to conduct </w:t>
      </w:r>
      <w:r w:rsidRPr="00EC24F7">
        <w:rPr>
          <w:rFonts w:cs="Arial"/>
          <w:lang w:val="en-GB"/>
        </w:rPr>
        <w:t xml:space="preserve">a notional exercise </w:t>
      </w:r>
      <w:r w:rsidRPr="00EC24F7">
        <w:rPr>
          <w:rFonts w:cs="Arial"/>
          <w:lang w:val="en-GB"/>
        </w:rPr>
        <w:t>to</w:t>
      </w:r>
      <w:r w:rsidRPr="00EC24F7">
        <w:rPr>
          <w:rFonts w:cs="Arial"/>
          <w:lang w:val="en-GB"/>
        </w:rPr>
        <w:t xml:space="preserve"> determin</w:t>
      </w:r>
      <w:r w:rsidR="00EB12A5" w:rsidRPr="00EC24F7">
        <w:rPr>
          <w:rFonts w:cs="Arial"/>
          <w:lang w:val="en-GB"/>
        </w:rPr>
        <w:t>e</w:t>
      </w:r>
      <w:r w:rsidRPr="00EC24F7">
        <w:rPr>
          <w:rFonts w:cs="Arial"/>
          <w:lang w:val="en-GB"/>
        </w:rPr>
        <w:t xml:space="preserve"> how much space would have been required </w:t>
      </w:r>
      <w:r w:rsidR="00D20DCF" w:rsidRPr="00EC24F7">
        <w:rPr>
          <w:rFonts w:cs="Arial"/>
          <w:lang w:val="en-GB"/>
        </w:rPr>
        <w:t xml:space="preserve">for emergency housing for the 282 unlawful occupiers </w:t>
      </w:r>
      <w:r w:rsidRPr="00EC24F7">
        <w:rPr>
          <w:rFonts w:cs="Arial"/>
          <w:lang w:val="en-GB"/>
        </w:rPr>
        <w:t>if the City had been called on to</w:t>
      </w:r>
      <w:r w:rsidR="00D20DCF" w:rsidRPr="00EC24F7">
        <w:rPr>
          <w:rFonts w:cs="Arial"/>
          <w:lang w:val="en-GB"/>
        </w:rPr>
        <w:t xml:space="preserve"> that</w:t>
      </w:r>
      <w:r w:rsidRPr="00EC24F7">
        <w:rPr>
          <w:rFonts w:cs="Arial"/>
          <w:lang w:val="en-GB"/>
        </w:rPr>
        <w:t xml:space="preserve"> determin</w:t>
      </w:r>
      <w:r w:rsidR="00D20DCF" w:rsidRPr="00EC24F7">
        <w:rPr>
          <w:rFonts w:cs="Arial"/>
          <w:lang w:val="en-GB"/>
        </w:rPr>
        <w:t>ation</w:t>
      </w:r>
      <w:r w:rsidRPr="00EC24F7">
        <w:rPr>
          <w:rFonts w:cs="Arial"/>
          <w:lang w:val="en-GB"/>
        </w:rPr>
        <w:t xml:space="preserve"> in 2019/2020 </w:t>
      </w:r>
      <w:r w:rsidRPr="00EC24F7">
        <w:rPr>
          <w:rFonts w:cs="Arial"/>
          <w:lang w:val="en-GB"/>
        </w:rPr>
        <w:t xml:space="preserve">when the decisions to dispose of the properties referred to by Transnet were taken, </w:t>
      </w:r>
      <w:r w:rsidR="000946F7" w:rsidRPr="00EC24F7">
        <w:rPr>
          <w:rStyle w:val="ssparacontent"/>
          <w:rFonts w:cs="Arial"/>
          <w:lang w:val="en-GB"/>
        </w:rPr>
        <w:t>b</w:t>
      </w:r>
      <w:r w:rsidR="000806E2" w:rsidRPr="00EC24F7">
        <w:rPr>
          <w:rStyle w:val="ssparacontent"/>
          <w:rFonts w:cs="Arial"/>
          <w:lang w:val="en-GB"/>
        </w:rPr>
        <w:t>ased on the funding and other conditions relevant at the time</w:t>
      </w:r>
      <w:r w:rsidR="000545A1">
        <w:rPr>
          <w:rStyle w:val="ssparacontent"/>
          <w:rFonts w:cs="Arial"/>
          <w:lang w:val="en-GB"/>
        </w:rPr>
        <w:t>,</w:t>
      </w:r>
      <w:r w:rsidR="000806E2" w:rsidRPr="00EC24F7">
        <w:rPr>
          <w:rStyle w:val="ssparacontent"/>
          <w:rFonts w:cs="Arial"/>
          <w:lang w:val="en-GB"/>
        </w:rPr>
        <w:t xml:space="preserve"> </w:t>
      </w:r>
      <w:r w:rsidR="000946F7" w:rsidRPr="00EC24F7">
        <w:rPr>
          <w:rStyle w:val="ssparacontent"/>
          <w:rFonts w:cs="Arial"/>
          <w:lang w:val="en-GB"/>
        </w:rPr>
        <w:t xml:space="preserve">the City would have required a </w:t>
      </w:r>
      <w:r w:rsidR="000946F7" w:rsidRPr="00EC24F7">
        <w:rPr>
          <w:rStyle w:val="ssparacontent"/>
          <w:rFonts w:cs="Arial"/>
          <w:lang w:val="en-GB"/>
        </w:rPr>
        <w:lastRenderedPageBreak/>
        <w:t xml:space="preserve">property </w:t>
      </w:r>
      <w:r w:rsidR="000946F7" w:rsidRPr="00EC24F7">
        <w:rPr>
          <w:rFonts w:cs="Arial"/>
          <w:lang w:val="en-GB"/>
        </w:rPr>
        <w:t>measuring</w:t>
      </w:r>
      <w:r w:rsidR="000946F7" w:rsidRPr="00EC24F7">
        <w:rPr>
          <w:rFonts w:cs="Arial"/>
          <w:lang w:val="en-GB"/>
        </w:rPr>
        <w:t xml:space="preserve"> either</w:t>
      </w:r>
      <w:r w:rsidR="000946F7" w:rsidRPr="00EC24F7">
        <w:rPr>
          <w:rFonts w:cs="Arial"/>
          <w:lang w:val="en-GB"/>
        </w:rPr>
        <w:t xml:space="preserve"> 11 280m</w:t>
      </w:r>
      <w:r w:rsidR="000946F7" w:rsidRPr="00EC24F7">
        <w:rPr>
          <w:rFonts w:cs="Arial"/>
          <w:vertAlign w:val="superscript"/>
          <w:lang w:val="en-GB"/>
        </w:rPr>
        <w:t>2</w:t>
      </w:r>
      <w:r w:rsidR="000946F7" w:rsidRPr="00EC24F7">
        <w:rPr>
          <w:rFonts w:cs="Arial"/>
          <w:vertAlign w:val="superscript"/>
          <w:lang w:val="en-GB"/>
        </w:rPr>
        <w:t xml:space="preserve"> </w:t>
      </w:r>
      <w:r w:rsidR="000946F7" w:rsidRPr="00EC24F7">
        <w:rPr>
          <w:rFonts w:cs="Arial"/>
          <w:lang w:val="en-GB"/>
        </w:rPr>
        <w:t>or 1</w:t>
      </w:r>
      <w:r w:rsidR="000946F7" w:rsidRPr="00EC24F7">
        <w:rPr>
          <w:rFonts w:cs="Arial"/>
          <w:lang w:val="en-GB"/>
        </w:rPr>
        <w:t>5 080m</w:t>
      </w:r>
      <w:r w:rsidR="000946F7" w:rsidRPr="00EC24F7">
        <w:rPr>
          <w:rFonts w:cs="Arial"/>
          <w:vertAlign w:val="superscript"/>
          <w:lang w:val="en-GB"/>
        </w:rPr>
        <w:t>2</w:t>
      </w:r>
      <w:r w:rsidR="000946F7" w:rsidRPr="00EC24F7">
        <w:rPr>
          <w:rFonts w:cs="Arial"/>
          <w:lang w:val="en-GB"/>
        </w:rPr>
        <w:t xml:space="preserve"> in exten</w:t>
      </w:r>
      <w:r w:rsidR="000946F7" w:rsidRPr="00EC24F7">
        <w:rPr>
          <w:rFonts w:cs="Arial"/>
          <w:lang w:val="en-GB"/>
        </w:rPr>
        <w:t>t.</w:t>
      </w:r>
      <w:r w:rsidR="000946F7" w:rsidRPr="00EC24F7">
        <w:rPr>
          <w:rStyle w:val="FootnoteReference"/>
          <w:rFonts w:cs="Arial"/>
          <w:lang w:val="en-GB"/>
        </w:rPr>
        <w:footnoteReference w:id="156"/>
      </w:r>
      <w:r w:rsidR="00DA109C" w:rsidRPr="00EC24F7">
        <w:rPr>
          <w:rFonts w:cs="Arial"/>
          <w:lang w:val="en-GB"/>
        </w:rPr>
        <w:t xml:space="preserve">  It is clear that n</w:t>
      </w:r>
      <w:r w:rsidR="00DA109C" w:rsidRPr="00EC24F7">
        <w:rPr>
          <w:rFonts w:cs="Arial"/>
          <w:lang w:val="en-GB"/>
        </w:rPr>
        <w:t xml:space="preserve">one of the five properties referred to in </w:t>
      </w:r>
      <w:r w:rsidR="00DA109C" w:rsidRPr="00EC24F7">
        <w:rPr>
          <w:rFonts w:cs="Arial"/>
          <w:lang w:val="en-GB"/>
        </w:rPr>
        <w:t>the replying</w:t>
      </w:r>
      <w:r w:rsidR="00DA109C" w:rsidRPr="00EC24F7">
        <w:rPr>
          <w:rFonts w:cs="Arial"/>
          <w:lang w:val="en-GB"/>
        </w:rPr>
        <w:t xml:space="preserve"> affidavit come close to the required size, and </w:t>
      </w:r>
      <w:r w:rsidR="00D05E71" w:rsidRPr="00EC24F7">
        <w:rPr>
          <w:rFonts w:cs="Arial"/>
          <w:lang w:val="en-GB"/>
        </w:rPr>
        <w:t xml:space="preserve">none of </w:t>
      </w:r>
      <w:r w:rsidR="00DA109C" w:rsidRPr="00EC24F7">
        <w:rPr>
          <w:rFonts w:cs="Arial"/>
          <w:lang w:val="en-GB"/>
        </w:rPr>
        <w:t xml:space="preserve">the remaining 41 properties referred to in </w:t>
      </w:r>
      <w:r w:rsidR="00D05E71" w:rsidRPr="00EC24F7">
        <w:rPr>
          <w:rFonts w:cs="Arial"/>
          <w:lang w:val="en-GB"/>
        </w:rPr>
        <w:t xml:space="preserve">Annexure </w:t>
      </w:r>
      <w:r w:rsidR="00DA109C" w:rsidRPr="00EC24F7">
        <w:rPr>
          <w:rFonts w:cs="Arial"/>
          <w:lang w:val="en-GB"/>
        </w:rPr>
        <w:t xml:space="preserve">‘RA1’ </w:t>
      </w:r>
      <w:r w:rsidR="00D05E71" w:rsidRPr="00EC24F7">
        <w:rPr>
          <w:rFonts w:cs="Arial"/>
          <w:lang w:val="en-GB"/>
        </w:rPr>
        <w:t xml:space="preserve">which are notionally big enough </w:t>
      </w:r>
      <w:r w:rsidR="00DA109C" w:rsidRPr="00EC24F7">
        <w:rPr>
          <w:rFonts w:cs="Arial"/>
          <w:lang w:val="en-GB"/>
        </w:rPr>
        <w:t>are suitable for emergency housing purposes</w:t>
      </w:r>
      <w:r w:rsidR="003A0D56" w:rsidRPr="00EC24F7">
        <w:rPr>
          <w:rFonts w:cs="Arial"/>
          <w:lang w:val="en-GB"/>
        </w:rPr>
        <w:t xml:space="preserve"> for the reasons explained in the City’s further affidavit</w:t>
      </w:r>
      <w:r w:rsidR="00DA109C" w:rsidRPr="00EC24F7">
        <w:rPr>
          <w:rFonts w:cs="Arial"/>
          <w:lang w:val="en-GB"/>
        </w:rPr>
        <w:t>.</w:t>
      </w:r>
      <w:r w:rsidR="00DA109C" w:rsidRPr="00EC24F7">
        <w:rPr>
          <w:rStyle w:val="FootnoteReference"/>
          <w:rFonts w:cs="Arial"/>
          <w:lang w:val="en-GB"/>
        </w:rPr>
        <w:footnoteReference w:id="157"/>
      </w:r>
    </w:p>
    <w:p w14:paraId="3E7ED21B" w14:textId="48173E9D" w:rsidR="00A849D4" w:rsidRPr="00EC24F7" w:rsidRDefault="00137E57" w:rsidP="00137E57">
      <w:pPr>
        <w:numPr>
          <w:ilvl w:val="0"/>
          <w:numId w:val="2"/>
        </w:numPr>
        <w:snapToGrid w:val="0"/>
        <w:spacing w:before="120" w:after="360" w:line="480" w:lineRule="auto"/>
        <w:jc w:val="both"/>
        <w:rPr>
          <w:rFonts w:cs="Arial"/>
          <w:lang w:val="en-GB"/>
        </w:rPr>
      </w:pPr>
      <w:r w:rsidRPr="00EC24F7">
        <w:rPr>
          <w:rFonts w:cs="Arial"/>
          <w:lang w:val="en-GB"/>
        </w:rPr>
        <w:t xml:space="preserve">Consequently, the City’s contentions that it has no land available for emergency housing </w:t>
      </w:r>
      <w:r w:rsidRPr="00EC24F7">
        <w:rPr>
          <w:rFonts w:cs="Arial"/>
          <w:lang w:val="en-GB"/>
        </w:rPr>
        <w:t xml:space="preserve">for the unlawful occupiers </w:t>
      </w:r>
      <w:r w:rsidRPr="00EC24F7">
        <w:rPr>
          <w:rFonts w:cs="Arial"/>
          <w:lang w:val="en-GB"/>
        </w:rPr>
        <w:t>has not</w:t>
      </w:r>
      <w:r w:rsidR="00302888">
        <w:rPr>
          <w:rFonts w:cs="Arial"/>
          <w:lang w:val="en-GB"/>
        </w:rPr>
        <w:t xml:space="preserve"> been</w:t>
      </w:r>
      <w:r w:rsidRPr="00EC24F7">
        <w:rPr>
          <w:rFonts w:cs="Arial"/>
          <w:lang w:val="en-GB"/>
        </w:rPr>
        <w:t xml:space="preserve"> (and cannot be</w:t>
      </w:r>
      <w:r w:rsidR="00302888">
        <w:rPr>
          <w:rFonts w:cs="Arial"/>
          <w:lang w:val="en-GB"/>
        </w:rPr>
        <w:t>)</w:t>
      </w:r>
      <w:r w:rsidRPr="00EC24F7">
        <w:rPr>
          <w:rFonts w:cs="Arial"/>
          <w:lang w:val="en-GB"/>
        </w:rPr>
        <w:t xml:space="preserve"> gainsaid by either the </w:t>
      </w:r>
      <w:r w:rsidRPr="00EC24F7">
        <w:rPr>
          <w:rFonts w:cs="Arial"/>
          <w:lang w:val="en-GB"/>
        </w:rPr>
        <w:t xml:space="preserve">unlawful </w:t>
      </w:r>
      <w:r w:rsidRPr="00EC24F7">
        <w:rPr>
          <w:rFonts w:cs="Arial"/>
          <w:lang w:val="en-GB"/>
        </w:rPr>
        <w:t xml:space="preserve">occupiers or Transnet. </w:t>
      </w:r>
    </w:p>
    <w:p w14:paraId="53FB04A5" w14:textId="21CB1FC0" w:rsidR="009F7326" w:rsidRPr="00EC24F7" w:rsidRDefault="00137E57" w:rsidP="009F7326">
      <w:pPr>
        <w:pStyle w:val="Heading2"/>
        <w:rPr>
          <w:rFonts w:cs="Arial"/>
          <w:b w:val="0"/>
          <w:bCs/>
          <w:szCs w:val="24"/>
          <w:lang w:val="en-GB"/>
        </w:rPr>
      </w:pPr>
      <w:bookmarkStart w:id="15" w:name="_Toc226040128"/>
      <w:r w:rsidRPr="00EC24F7">
        <w:rPr>
          <w:rFonts w:cs="Arial"/>
          <w:bCs/>
          <w:szCs w:val="24"/>
          <w:lang w:val="en-GB"/>
        </w:rPr>
        <w:t>The changed funding landscape</w:t>
      </w:r>
      <w:bookmarkEnd w:id="15"/>
    </w:p>
    <w:p w14:paraId="0026EB48" w14:textId="29C1C9C1" w:rsidR="003C06C6" w:rsidRPr="00EC24F7" w:rsidRDefault="00CC7B4A" w:rsidP="003C06C6">
      <w:pPr>
        <w:numPr>
          <w:ilvl w:val="0"/>
          <w:numId w:val="2"/>
        </w:numPr>
        <w:snapToGrid w:val="0"/>
        <w:spacing w:before="120" w:after="360" w:line="480" w:lineRule="auto"/>
        <w:jc w:val="both"/>
        <w:rPr>
          <w:rFonts w:cs="Arial"/>
          <w:lang w:val="en-GB"/>
        </w:rPr>
      </w:pPr>
      <w:r w:rsidRPr="00EC24F7">
        <w:rPr>
          <w:rFonts w:cs="Arial"/>
          <w:lang w:val="en-GB"/>
        </w:rPr>
        <w:t>It bears emphasis that the</w:t>
      </w:r>
      <w:r w:rsidR="009F7326" w:rsidRPr="00EC24F7">
        <w:rPr>
          <w:rFonts w:cs="Arial"/>
          <w:lang w:val="en-GB"/>
        </w:rPr>
        <w:t xml:space="preserve"> funding regime for emergency housing </w:t>
      </w:r>
      <w:r w:rsidRPr="00EC24F7">
        <w:rPr>
          <w:rFonts w:cs="Arial"/>
          <w:lang w:val="en-GB"/>
        </w:rPr>
        <w:t>has undergone a radical change since 2023.</w:t>
      </w:r>
      <w:r w:rsidR="000173D5" w:rsidRPr="00EC24F7">
        <w:rPr>
          <w:rFonts w:cs="Arial"/>
          <w:lang w:val="en-GB"/>
        </w:rPr>
        <w:t xml:space="preserve">  Prior to 2023</w:t>
      </w:r>
      <w:r w:rsidR="00AB514C">
        <w:rPr>
          <w:rFonts w:cs="Arial"/>
          <w:lang w:val="en-GB"/>
        </w:rPr>
        <w:t>,</w:t>
      </w:r>
      <w:r w:rsidR="000173D5" w:rsidRPr="00EC24F7">
        <w:rPr>
          <w:rFonts w:cs="Arial"/>
          <w:lang w:val="en-GB"/>
        </w:rPr>
        <w:t xml:space="preserve"> </w:t>
      </w:r>
      <w:r w:rsidR="000173D5" w:rsidRPr="00EC24F7">
        <w:rPr>
          <w:rStyle w:val="ssparacontent"/>
          <w:rFonts w:cs="Arial"/>
          <w:lang w:val="en-GB"/>
        </w:rPr>
        <w:t>national funding for the purposes of emergency housing developments was available,</w:t>
      </w:r>
      <w:r w:rsidR="000173D5" w:rsidRPr="00EC24F7">
        <w:rPr>
          <w:rStyle w:val="ssparacontent"/>
          <w:rFonts w:cs="Arial"/>
          <w:lang w:val="en-GB"/>
        </w:rPr>
        <w:t xml:space="preserve"> and</w:t>
      </w:r>
      <w:r w:rsidR="000173D5" w:rsidRPr="00EC24F7">
        <w:rPr>
          <w:rStyle w:val="ssparacontent"/>
          <w:rFonts w:cs="Arial"/>
          <w:lang w:val="en-GB"/>
        </w:rPr>
        <w:t xml:space="preserve"> the City developed TRAs in compliance with the Emergency Housing Programme (‘the EHP’) which forms part of </w:t>
      </w:r>
      <w:r w:rsidR="000173D5" w:rsidRPr="00EC24F7">
        <w:rPr>
          <w:rFonts w:cs="Arial"/>
        </w:rPr>
        <w:t>the National Housing Code (‘the Housing</w:t>
      </w:r>
      <w:r w:rsidR="000173D5" w:rsidRPr="00EC24F7">
        <w:rPr>
          <w:rFonts w:cs="Arial"/>
        </w:rPr>
        <w:t> </w:t>
      </w:r>
      <w:r w:rsidR="000173D5" w:rsidRPr="00EC24F7">
        <w:rPr>
          <w:rFonts w:cs="Arial"/>
        </w:rPr>
        <w:t xml:space="preserve">Code’) enacted under </w:t>
      </w:r>
      <w:r w:rsidR="000173D5" w:rsidRPr="00EC24F7">
        <w:rPr>
          <w:rFonts w:cs="Arial"/>
          <w:lang w:val="en-GB"/>
        </w:rPr>
        <w:t>the Housing Act 107 of 1997 (‘the</w:t>
      </w:r>
      <w:r w:rsidR="000173D5" w:rsidRPr="00EC24F7">
        <w:rPr>
          <w:rFonts w:cs="Arial"/>
          <w:lang w:val="en-GB"/>
        </w:rPr>
        <w:t> </w:t>
      </w:r>
      <w:r w:rsidR="000173D5" w:rsidRPr="00EC24F7">
        <w:rPr>
          <w:rFonts w:cs="Arial"/>
          <w:lang w:val="en-GB"/>
        </w:rPr>
        <w:t>Housing</w:t>
      </w:r>
      <w:r w:rsidR="000173D5" w:rsidRPr="00EC24F7">
        <w:rPr>
          <w:rFonts w:cs="Arial"/>
          <w:lang w:val="en-GB"/>
        </w:rPr>
        <w:t> </w:t>
      </w:r>
      <w:r w:rsidR="000173D5" w:rsidRPr="00EC24F7">
        <w:rPr>
          <w:rFonts w:cs="Arial"/>
          <w:lang w:val="en-GB"/>
        </w:rPr>
        <w:t>Act’)</w:t>
      </w:r>
      <w:r w:rsidR="000173D5" w:rsidRPr="00EC24F7">
        <w:rPr>
          <w:rFonts w:cs="Arial"/>
          <w:lang w:val="en-GB"/>
        </w:rPr>
        <w:t>.</w:t>
      </w:r>
      <w:r w:rsidR="00E900A5" w:rsidRPr="00EC24F7">
        <w:rPr>
          <w:rStyle w:val="FootnoteReference"/>
          <w:rFonts w:cs="Arial"/>
          <w:lang w:val="en-GB"/>
        </w:rPr>
        <w:footnoteReference w:id="158"/>
      </w:r>
      <w:r w:rsidR="000173D5" w:rsidRPr="00EC24F7">
        <w:rPr>
          <w:rFonts w:cs="Arial"/>
          <w:lang w:val="en-GB"/>
        </w:rPr>
        <w:t xml:space="preserve">  It is not in dispute that these</w:t>
      </w:r>
      <w:r w:rsidR="000173D5" w:rsidRPr="00EC24F7">
        <w:rPr>
          <w:rFonts w:cs="Arial"/>
          <w:lang w:val="en-GB"/>
        </w:rPr>
        <w:t xml:space="preserve"> TRA’s are still in existence and are fully utilised by the City for emergency </w:t>
      </w:r>
      <w:r w:rsidR="000173D5" w:rsidRPr="00EC24F7">
        <w:rPr>
          <w:rStyle w:val="ssparacontent"/>
          <w:rFonts w:cs="Arial"/>
          <w:lang w:val="en-GB"/>
        </w:rPr>
        <w:t>housing</w:t>
      </w:r>
      <w:r w:rsidR="000173D5" w:rsidRPr="00EC24F7">
        <w:rPr>
          <w:rFonts w:cs="Arial"/>
          <w:lang w:val="en-GB"/>
        </w:rPr>
        <w:t xml:space="preserve"> purposes, </w:t>
      </w:r>
      <w:r w:rsidR="00AB514C">
        <w:rPr>
          <w:rFonts w:cs="Arial"/>
          <w:lang w:val="en-GB"/>
        </w:rPr>
        <w:t>and</w:t>
      </w:r>
      <w:r w:rsidR="000173D5" w:rsidRPr="00EC24F7">
        <w:rPr>
          <w:rFonts w:cs="Arial"/>
          <w:lang w:val="en-GB"/>
        </w:rPr>
        <w:t xml:space="preserve"> that they are now almost all fully occupied on a continual basis.</w:t>
      </w:r>
      <w:r w:rsidR="000173D5" w:rsidRPr="00EC24F7">
        <w:rPr>
          <w:rStyle w:val="FootnoteReference"/>
          <w:rFonts w:cs="Arial"/>
          <w:lang w:val="en-GB"/>
        </w:rPr>
        <w:footnoteReference w:id="159"/>
      </w:r>
    </w:p>
    <w:p w14:paraId="6C75B034" w14:textId="785F6F7C" w:rsidR="009F7326" w:rsidRPr="00EC24F7" w:rsidRDefault="009F7326" w:rsidP="00422A96">
      <w:pPr>
        <w:numPr>
          <w:ilvl w:val="0"/>
          <w:numId w:val="2"/>
        </w:numPr>
        <w:snapToGrid w:val="0"/>
        <w:spacing w:before="120" w:after="360" w:line="480" w:lineRule="auto"/>
        <w:jc w:val="both"/>
        <w:rPr>
          <w:rFonts w:cs="Arial"/>
          <w:lang w:val="en-GB"/>
        </w:rPr>
      </w:pPr>
      <w:r w:rsidRPr="00EC24F7">
        <w:rPr>
          <w:rFonts w:cs="Arial"/>
          <w:lang w:val="en-GB"/>
        </w:rPr>
        <w:t>In terms of the Housing Act the National Department of Human Settlements (‘the</w:t>
      </w:r>
      <w:r w:rsidR="003C06C6" w:rsidRPr="00EC24F7">
        <w:rPr>
          <w:rFonts w:cs="Arial"/>
          <w:lang w:val="en-GB"/>
        </w:rPr>
        <w:t> </w:t>
      </w:r>
      <w:r w:rsidRPr="00EC24F7">
        <w:rPr>
          <w:rFonts w:cs="Arial"/>
          <w:lang w:val="en-GB"/>
        </w:rPr>
        <w:t>National</w:t>
      </w:r>
      <w:r w:rsidR="003C06C6" w:rsidRPr="00EC24F7">
        <w:rPr>
          <w:rFonts w:cs="Arial"/>
          <w:lang w:val="en-GB"/>
        </w:rPr>
        <w:t> </w:t>
      </w:r>
      <w:r w:rsidRPr="00EC24F7">
        <w:rPr>
          <w:rFonts w:cs="Arial"/>
          <w:lang w:val="en-GB"/>
        </w:rPr>
        <w:t xml:space="preserve">Department’) is responsible for setting the policy agenda for human settlements programmes with grant funding being disbursed from National Treasury to support the implementation of, </w:t>
      </w:r>
      <w:r w:rsidRPr="00EC24F7">
        <w:rPr>
          <w:rFonts w:cs="Arial"/>
          <w:i/>
          <w:iCs/>
          <w:lang w:val="en-GB"/>
        </w:rPr>
        <w:t>inter alia</w:t>
      </w:r>
      <w:r w:rsidRPr="00EC24F7">
        <w:rPr>
          <w:rFonts w:cs="Arial"/>
          <w:lang w:val="en-GB"/>
        </w:rPr>
        <w:t>, the EHP.</w:t>
      </w:r>
      <w:r w:rsidR="00CB5A47" w:rsidRPr="00EC24F7">
        <w:rPr>
          <w:rStyle w:val="FootnoteReference"/>
          <w:rFonts w:cs="Arial"/>
          <w:lang w:val="en-GB"/>
        </w:rPr>
        <w:footnoteReference w:id="160"/>
      </w:r>
      <w:r w:rsidRPr="00EC24F7">
        <w:rPr>
          <w:rFonts w:cs="Arial"/>
          <w:lang w:val="en-GB"/>
        </w:rPr>
        <w:t xml:space="preserve">  While </w:t>
      </w:r>
      <w:r w:rsidRPr="00EC24F7">
        <w:rPr>
          <w:rFonts w:cs="Arial"/>
          <w:lang w:val="en-GB"/>
        </w:rPr>
        <w:lastRenderedPageBreak/>
        <w:t xml:space="preserve">municipalities are required to offer temporary emergency housing in eviction cases, the current Emergency Housing Implementation Guidelines and National Funding Framework is oriented towards disaster-related relief and </w:t>
      </w:r>
      <w:r w:rsidRPr="00EC24F7">
        <w:rPr>
          <w:rFonts w:cs="Arial"/>
          <w:u w:val="single"/>
          <w:lang w:val="en-GB"/>
        </w:rPr>
        <w:t>excludes</w:t>
      </w:r>
      <w:r w:rsidRPr="00EC24F7">
        <w:rPr>
          <w:rFonts w:cs="Arial"/>
          <w:lang w:val="en-GB"/>
        </w:rPr>
        <w:t xml:space="preserve"> evictions, despite </w:t>
      </w:r>
      <w:r w:rsidR="009B5F88">
        <w:rPr>
          <w:rFonts w:cs="Arial"/>
          <w:lang w:val="en-GB"/>
        </w:rPr>
        <w:t xml:space="preserve">these </w:t>
      </w:r>
      <w:r w:rsidR="00CB5A47" w:rsidRPr="00EC24F7">
        <w:rPr>
          <w:rFonts w:cs="Arial"/>
          <w:lang w:val="en-GB"/>
        </w:rPr>
        <w:t>being defined as</w:t>
      </w:r>
      <w:r w:rsidRPr="00EC24F7">
        <w:rPr>
          <w:rFonts w:cs="Arial"/>
          <w:lang w:val="en-GB"/>
        </w:rPr>
        <w:t xml:space="preserve"> emergencies under the Housing Code.</w:t>
      </w:r>
      <w:r w:rsidR="00CB5A47" w:rsidRPr="00EC24F7">
        <w:rPr>
          <w:rStyle w:val="FootnoteReference"/>
          <w:rFonts w:cs="Arial"/>
          <w:lang w:val="en-GB"/>
        </w:rPr>
        <w:footnoteReference w:id="161"/>
      </w:r>
      <w:r w:rsidRPr="00EC24F7">
        <w:rPr>
          <w:rFonts w:cs="Arial"/>
          <w:lang w:val="en-GB"/>
        </w:rPr>
        <w:t xml:space="preserve">  In addition, in 202</w:t>
      </w:r>
      <w:r w:rsidR="00422A96" w:rsidRPr="00EC24F7">
        <w:rPr>
          <w:rFonts w:cs="Arial"/>
          <w:lang w:val="en-GB"/>
        </w:rPr>
        <w:t>3</w:t>
      </w:r>
      <w:r w:rsidRPr="00EC24F7">
        <w:rPr>
          <w:rFonts w:cs="Arial"/>
          <w:lang w:val="en-GB"/>
        </w:rPr>
        <w:t xml:space="preserve"> the National Department centralised emergency housing funding under the Emergency Housing Grant (‘EHG’) but restricted its use to declared disasters under the Disaster Management Act 57 of 2002.</w:t>
      </w:r>
      <w:r w:rsidR="009C20A2" w:rsidRPr="00EC24F7">
        <w:rPr>
          <w:rStyle w:val="FootnoteReference"/>
          <w:rFonts w:cs="Arial"/>
          <w:lang w:val="en-GB"/>
        </w:rPr>
        <w:footnoteReference w:id="162"/>
      </w:r>
      <w:r w:rsidRPr="00EC24F7">
        <w:rPr>
          <w:rFonts w:cs="Arial"/>
          <w:lang w:val="en-GB"/>
        </w:rPr>
        <w:t xml:space="preserve">  </w:t>
      </w:r>
      <w:r w:rsidR="009C20A2" w:rsidRPr="00EC24F7">
        <w:rPr>
          <w:rFonts w:cs="Arial"/>
          <w:lang w:val="en-GB"/>
        </w:rPr>
        <w:t>I</w:t>
      </w:r>
      <w:r w:rsidRPr="00EC24F7">
        <w:rPr>
          <w:rFonts w:cs="Arial"/>
          <w:lang w:val="en-GB"/>
        </w:rPr>
        <w:t xml:space="preserve">n 2023/2024 the National Department took over the implementation of the EHP </w:t>
      </w:r>
      <w:r w:rsidR="009C20A2" w:rsidRPr="00EC24F7">
        <w:rPr>
          <w:rFonts w:cs="Arial"/>
          <w:lang w:val="en-GB"/>
        </w:rPr>
        <w:t>and terminated</w:t>
      </w:r>
      <w:r w:rsidRPr="00EC24F7">
        <w:rPr>
          <w:rFonts w:cs="Arial"/>
          <w:lang w:val="en-GB"/>
        </w:rPr>
        <w:t xml:space="preserve"> the Provincial EHG and the Municipal EHG </w:t>
      </w:r>
      <w:r w:rsidR="009C20A2" w:rsidRPr="00EC24F7">
        <w:rPr>
          <w:rFonts w:cs="Arial"/>
          <w:lang w:val="en-GB"/>
        </w:rPr>
        <w:t>which were</w:t>
      </w:r>
      <w:r w:rsidRPr="00EC24F7">
        <w:rPr>
          <w:rFonts w:cs="Arial"/>
          <w:lang w:val="en-GB"/>
        </w:rPr>
        <w:t xml:space="preserve"> replaced by the Emergency Housing Response Fund (‘EHRF’) which came into effect in April</w:t>
      </w:r>
      <w:r w:rsidR="009C20A2" w:rsidRPr="00EC24F7">
        <w:rPr>
          <w:rFonts w:cs="Arial"/>
          <w:lang w:val="en-GB"/>
        </w:rPr>
        <w:t> </w:t>
      </w:r>
      <w:r w:rsidRPr="00EC24F7">
        <w:rPr>
          <w:rFonts w:cs="Arial"/>
          <w:lang w:val="en-GB"/>
        </w:rPr>
        <w:t xml:space="preserve">2023 </w:t>
      </w:r>
      <w:r w:rsidR="009C20A2" w:rsidRPr="00EC24F7">
        <w:rPr>
          <w:rFonts w:cs="Arial"/>
          <w:lang w:val="en-GB"/>
        </w:rPr>
        <w:t xml:space="preserve">and is </w:t>
      </w:r>
      <w:r w:rsidRPr="00EC24F7">
        <w:rPr>
          <w:rFonts w:cs="Arial"/>
          <w:lang w:val="en-GB"/>
        </w:rPr>
        <w:t>implemented under the Housing Act and the Division of Revenue Act, giving the National Department direct control over emergency housing funds and interventions.</w:t>
      </w:r>
      <w:r w:rsidR="009C20A2" w:rsidRPr="00EC24F7">
        <w:rPr>
          <w:rStyle w:val="FootnoteReference"/>
          <w:rFonts w:cs="Arial"/>
          <w:lang w:val="en-GB"/>
        </w:rPr>
        <w:footnoteReference w:id="163"/>
      </w:r>
      <w:r w:rsidRPr="00EC24F7">
        <w:rPr>
          <w:rFonts w:cs="Arial"/>
          <w:lang w:val="en-GB"/>
        </w:rPr>
        <w:t xml:space="preserve">  These shifts left the City unable to fund emergency housing for evictees from national grant funding, effectively making it an unfunded mandate</w:t>
      </w:r>
      <w:r w:rsidR="00F308EB" w:rsidRPr="00EC24F7">
        <w:rPr>
          <w:rFonts w:cs="Arial"/>
          <w:lang w:val="en-GB"/>
        </w:rPr>
        <w:t>.</w:t>
      </w:r>
      <w:r w:rsidR="00F308EB" w:rsidRPr="00EC24F7">
        <w:rPr>
          <w:rStyle w:val="FootnoteReference"/>
          <w:rFonts w:cs="Arial"/>
          <w:lang w:val="en-GB"/>
        </w:rPr>
        <w:t xml:space="preserve"> </w:t>
      </w:r>
      <w:r w:rsidR="00F308EB" w:rsidRPr="00EC24F7">
        <w:rPr>
          <w:rStyle w:val="FootnoteReference"/>
          <w:rFonts w:cs="Arial"/>
          <w:lang w:val="en-GB"/>
        </w:rPr>
        <w:footnoteReference w:id="164"/>
      </w:r>
      <w:r w:rsidRPr="00EC24F7">
        <w:rPr>
          <w:rFonts w:cs="Arial"/>
          <w:lang w:val="en-GB"/>
        </w:rPr>
        <w:t xml:space="preserve">  </w:t>
      </w:r>
    </w:p>
    <w:p w14:paraId="604E7989" w14:textId="28DBB3AA" w:rsidR="009F7326" w:rsidRPr="00EC24F7" w:rsidRDefault="009F7326" w:rsidP="009F7326">
      <w:pPr>
        <w:numPr>
          <w:ilvl w:val="0"/>
          <w:numId w:val="2"/>
        </w:numPr>
        <w:snapToGrid w:val="0"/>
        <w:spacing w:before="120" w:after="360" w:line="480" w:lineRule="auto"/>
        <w:jc w:val="both"/>
        <w:rPr>
          <w:rFonts w:cs="Arial"/>
          <w:lang w:val="en-GB"/>
        </w:rPr>
      </w:pPr>
      <w:r w:rsidRPr="00EC24F7">
        <w:rPr>
          <w:rFonts w:cs="Arial"/>
          <w:lang w:val="en-GB"/>
        </w:rPr>
        <w:t>It bears emphasis that the City’s funding sources consist of funds received from the national government including its equitable share, subsidies and conditional grants which are allocated to allow the City to perform specific functions, funds generated by the City from rates, services charges and other sundry income sources such as fines, licences and permits, gains on disposal of property, plant and equipment, and donations</w:t>
      </w:r>
      <w:r w:rsidR="00F82A46" w:rsidRPr="00EC24F7">
        <w:rPr>
          <w:rFonts w:cs="Arial"/>
          <w:lang w:val="en-GB"/>
        </w:rPr>
        <w:t>, thus</w:t>
      </w:r>
      <w:r w:rsidRPr="00EC24F7">
        <w:rPr>
          <w:rFonts w:cs="Arial"/>
          <w:lang w:val="en-GB"/>
        </w:rPr>
        <w:t xml:space="preserve"> </w:t>
      </w:r>
      <w:r w:rsidR="00F82A46" w:rsidRPr="00EC24F7">
        <w:rPr>
          <w:rFonts w:cs="Arial"/>
          <w:lang w:val="en-GB"/>
        </w:rPr>
        <w:t>t</w:t>
      </w:r>
      <w:r w:rsidRPr="00EC24F7">
        <w:rPr>
          <w:rFonts w:cs="Arial"/>
          <w:lang w:val="en-GB"/>
        </w:rPr>
        <w:t xml:space="preserve">he only source of self-funding available to </w:t>
      </w:r>
      <w:r w:rsidR="00F82A46" w:rsidRPr="00EC24F7">
        <w:rPr>
          <w:rFonts w:cs="Arial"/>
          <w:lang w:val="en-GB"/>
        </w:rPr>
        <w:t>the City</w:t>
      </w:r>
      <w:r w:rsidRPr="00EC24F7">
        <w:rPr>
          <w:rFonts w:cs="Arial"/>
          <w:lang w:val="en-GB"/>
        </w:rPr>
        <w:t xml:space="preserve"> is that derived from rates, services charges and sundry sources.</w:t>
      </w:r>
      <w:r w:rsidR="00F601D9" w:rsidRPr="00EC24F7">
        <w:rPr>
          <w:rStyle w:val="FootnoteReference"/>
          <w:rFonts w:cs="Arial"/>
          <w:lang w:val="en-GB"/>
        </w:rPr>
        <w:footnoteReference w:id="165"/>
      </w:r>
      <w:r w:rsidRPr="00EC24F7">
        <w:rPr>
          <w:rFonts w:cs="Arial"/>
          <w:lang w:val="en-GB"/>
        </w:rPr>
        <w:t xml:space="preserve">  </w:t>
      </w:r>
    </w:p>
    <w:p w14:paraId="3D9975C7" w14:textId="09D17757" w:rsidR="009F7326" w:rsidRPr="00EC24F7" w:rsidRDefault="009F7326" w:rsidP="009F7326">
      <w:pPr>
        <w:numPr>
          <w:ilvl w:val="0"/>
          <w:numId w:val="2"/>
        </w:numPr>
        <w:snapToGrid w:val="0"/>
        <w:spacing w:before="120" w:after="360" w:line="480" w:lineRule="auto"/>
        <w:jc w:val="both"/>
        <w:rPr>
          <w:rFonts w:cs="Arial"/>
          <w:lang w:val="en-GB"/>
        </w:rPr>
      </w:pPr>
      <w:r w:rsidRPr="00EC24F7">
        <w:rPr>
          <w:rFonts w:cs="Arial"/>
          <w:lang w:val="en-GB"/>
        </w:rPr>
        <w:lastRenderedPageBreak/>
        <w:t xml:space="preserve">Given the increase in demand for emergency housing in the City, the concurrent obligations of all spheres of government in this respect, and the lack of specific funding from the national government for this purpose, during negotiations with the Provincial Department of Human Settlements (‘the Provincial Department’) </w:t>
      </w:r>
      <w:r w:rsidR="00960C3B" w:rsidRPr="00EC24F7">
        <w:rPr>
          <w:rFonts w:cs="Arial"/>
          <w:lang w:val="en-GB"/>
        </w:rPr>
        <w:t>regarding</w:t>
      </w:r>
      <w:r w:rsidRPr="00EC24F7">
        <w:rPr>
          <w:rFonts w:cs="Arial"/>
          <w:lang w:val="en-GB"/>
        </w:rPr>
        <w:t xml:space="preserve"> the City’s use of the Human Settlements Development Grant (‘HSDG’) budget for the 2025/2026 financial year (which requires </w:t>
      </w:r>
      <w:r w:rsidR="00960C3B" w:rsidRPr="00EC24F7">
        <w:rPr>
          <w:rFonts w:cs="Arial"/>
          <w:lang w:val="en-GB"/>
        </w:rPr>
        <w:t>provincial</w:t>
      </w:r>
      <w:r w:rsidRPr="00EC24F7">
        <w:rPr>
          <w:rFonts w:cs="Arial"/>
          <w:lang w:val="en-GB"/>
        </w:rPr>
        <w:t xml:space="preserve"> approval) it was agreed that the City could utilise a small percentage of the HSDG funded budget to meet emergency housing requirements on the basis that the units will be built utilising Alternative Building Technology (‘ABT’) which permits densification, and that these developments can be included in the City’s Development Plans on this basis.</w:t>
      </w:r>
      <w:r w:rsidR="00F40813" w:rsidRPr="00EC24F7">
        <w:rPr>
          <w:rStyle w:val="FootnoteReference"/>
          <w:rFonts w:cs="Arial"/>
          <w:lang w:val="en-GB"/>
        </w:rPr>
        <w:t xml:space="preserve"> </w:t>
      </w:r>
      <w:r w:rsidR="00F40813" w:rsidRPr="00EC24F7">
        <w:rPr>
          <w:rStyle w:val="FootnoteReference"/>
          <w:rFonts w:cs="Arial"/>
          <w:lang w:val="en-GB"/>
        </w:rPr>
        <w:footnoteReference w:id="166"/>
      </w:r>
    </w:p>
    <w:p w14:paraId="646C20FF" w14:textId="234008D0" w:rsidR="009F7326" w:rsidRPr="00EC24F7" w:rsidRDefault="0079445D" w:rsidP="00F25C6A">
      <w:pPr>
        <w:numPr>
          <w:ilvl w:val="0"/>
          <w:numId w:val="2"/>
        </w:numPr>
        <w:snapToGrid w:val="0"/>
        <w:spacing w:before="120" w:after="360" w:line="480" w:lineRule="auto"/>
        <w:jc w:val="both"/>
        <w:rPr>
          <w:rFonts w:cs="Arial"/>
          <w:lang w:val="en-GB"/>
        </w:rPr>
      </w:pPr>
      <w:r w:rsidRPr="00EC24F7">
        <w:rPr>
          <w:rFonts w:cs="Arial"/>
          <w:lang w:val="en-GB"/>
        </w:rPr>
        <w:t xml:space="preserve">On this basis the City was able to consider the Langa </w:t>
      </w:r>
      <w:r w:rsidR="00DA2429" w:rsidRPr="00EC24F7">
        <w:rPr>
          <w:rFonts w:cs="Arial"/>
          <w:lang w:val="en-GB"/>
        </w:rPr>
        <w:t>(which is</w:t>
      </w:r>
      <w:r w:rsidR="0077624A" w:rsidRPr="00EC24F7">
        <w:rPr>
          <w:rFonts w:cs="Arial"/>
          <w:lang w:val="en-GB"/>
        </w:rPr>
        <w:t xml:space="preserve"> 5 820m</w:t>
      </w:r>
      <w:r w:rsidR="0077624A" w:rsidRPr="00EC24F7">
        <w:rPr>
          <w:rFonts w:cs="Arial"/>
          <w:vertAlign w:val="superscript"/>
          <w:lang w:val="en-GB"/>
        </w:rPr>
        <w:t>2</w:t>
      </w:r>
      <w:r w:rsidR="00DA2429" w:rsidRPr="00EC24F7">
        <w:rPr>
          <w:rFonts w:cs="Arial"/>
          <w:lang w:val="en-GB"/>
        </w:rPr>
        <w:t xml:space="preserve">) </w:t>
      </w:r>
      <w:r w:rsidRPr="00EC24F7">
        <w:rPr>
          <w:rFonts w:cs="Arial"/>
          <w:lang w:val="en-GB"/>
        </w:rPr>
        <w:t xml:space="preserve">for the construction of three-storey ABT units should the </w:t>
      </w:r>
      <w:r w:rsidR="0077624A" w:rsidRPr="00EC24F7">
        <w:rPr>
          <w:rFonts w:cs="Arial"/>
          <w:lang w:val="en-GB"/>
        </w:rPr>
        <w:t>C</w:t>
      </w:r>
      <w:r w:rsidRPr="00EC24F7">
        <w:rPr>
          <w:rFonts w:cs="Arial"/>
          <w:lang w:val="en-GB"/>
        </w:rPr>
        <w:t>ourt order the provision of emergency housing to the unlawful occupiers, and on the assumption that the surrounding community of Langa will agree to the accommodation of the unlawful occupiers on that land when any rezoning application is made available for public participation.</w:t>
      </w:r>
      <w:r w:rsidR="0077624A" w:rsidRPr="00EC24F7">
        <w:rPr>
          <w:rStyle w:val="FootnoteReference"/>
          <w:rFonts w:cs="Arial"/>
          <w:lang w:val="en-GB"/>
        </w:rPr>
        <w:footnoteReference w:id="167"/>
      </w:r>
    </w:p>
    <w:p w14:paraId="233AC190" w14:textId="77777777" w:rsidR="009F7326" w:rsidRPr="00EC24F7" w:rsidRDefault="009F7326" w:rsidP="009F7326">
      <w:pPr>
        <w:pStyle w:val="Heading2"/>
        <w:rPr>
          <w:rFonts w:cs="Arial"/>
          <w:szCs w:val="24"/>
        </w:rPr>
      </w:pPr>
      <w:bookmarkStart w:id="16" w:name="_Toc225751549"/>
      <w:bookmarkStart w:id="17" w:name="_Toc226040129"/>
      <w:r w:rsidRPr="00EC24F7">
        <w:rPr>
          <w:rFonts w:cs="Arial"/>
          <w:szCs w:val="24"/>
        </w:rPr>
        <w:t>City Safe Spaces</w:t>
      </w:r>
      <w:bookmarkEnd w:id="16"/>
      <w:bookmarkEnd w:id="17"/>
      <w:r w:rsidRPr="00EC24F7">
        <w:rPr>
          <w:rFonts w:cs="Arial"/>
          <w:szCs w:val="24"/>
        </w:rPr>
        <w:t xml:space="preserve"> </w:t>
      </w:r>
    </w:p>
    <w:p w14:paraId="61425E8B" w14:textId="3DB30D61" w:rsidR="00B13D73" w:rsidRPr="00EC24F7" w:rsidRDefault="002F42F5" w:rsidP="00AE6F40">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color w:val="000000"/>
          <w:lang w:val="en-GB"/>
        </w:rPr>
        <w:t>T</w:t>
      </w:r>
      <w:r w:rsidR="009F7326" w:rsidRPr="00EC24F7">
        <w:rPr>
          <w:rFonts w:cs="Arial"/>
          <w:color w:val="000000"/>
          <w:lang w:val="en-GB"/>
        </w:rPr>
        <w:t xml:space="preserve">he City </w:t>
      </w:r>
      <w:r w:rsidRPr="00EC24F7">
        <w:rPr>
          <w:rFonts w:cs="Arial"/>
          <w:color w:val="000000"/>
          <w:lang w:val="en-GB"/>
        </w:rPr>
        <w:t>has explained in detail</w:t>
      </w:r>
      <w:r w:rsidR="009F7326" w:rsidRPr="00EC24F7">
        <w:rPr>
          <w:rFonts w:cs="Arial"/>
          <w:color w:val="000000"/>
          <w:lang w:val="en-GB"/>
        </w:rPr>
        <w:t xml:space="preserve"> why </w:t>
      </w:r>
      <w:r w:rsidRPr="00EC24F7">
        <w:rPr>
          <w:rFonts w:cs="Arial"/>
          <w:color w:val="000000"/>
          <w:lang w:val="en-GB"/>
        </w:rPr>
        <w:t>the</w:t>
      </w:r>
      <w:r w:rsidR="009F7326" w:rsidRPr="00EC24F7">
        <w:rPr>
          <w:rFonts w:cs="Arial"/>
          <w:color w:val="000000"/>
          <w:lang w:val="en-GB"/>
        </w:rPr>
        <w:t xml:space="preserve"> Safe Space model is inappropriate for the unlawful occupiers</w:t>
      </w:r>
      <w:r w:rsidRPr="00EC24F7">
        <w:rPr>
          <w:rFonts w:cs="Arial"/>
          <w:color w:val="000000"/>
          <w:lang w:val="en-GB"/>
        </w:rPr>
        <w:t>, but i</w:t>
      </w:r>
      <w:r w:rsidR="00E27827">
        <w:rPr>
          <w:rFonts w:cs="Arial"/>
          <w:color w:val="000000"/>
          <w:lang w:val="en-GB"/>
        </w:rPr>
        <w:t>t</w:t>
      </w:r>
      <w:r w:rsidRPr="00EC24F7">
        <w:rPr>
          <w:rFonts w:cs="Arial"/>
          <w:color w:val="000000"/>
          <w:lang w:val="en-GB"/>
        </w:rPr>
        <w:t xml:space="preserve"> bears mention that only two of the unlawful occupiers have indicated that they would accept an offer of emergency housing at the Safe Spaces if this was offered.</w:t>
      </w:r>
      <w:r w:rsidR="00871248" w:rsidRPr="00EC24F7">
        <w:rPr>
          <w:rFonts w:cs="Arial"/>
          <w:color w:val="000000"/>
          <w:lang w:val="en-GB"/>
        </w:rPr>
        <w:t xml:space="preserve">  </w:t>
      </w:r>
      <w:r w:rsidR="00CC70DD" w:rsidRPr="00EC24F7">
        <w:rPr>
          <w:rFonts w:cs="Arial"/>
          <w:lang w:val="en-GB"/>
        </w:rPr>
        <w:t xml:space="preserve">The key issue as to whether </w:t>
      </w:r>
      <w:r w:rsidR="0005049C" w:rsidRPr="00EC24F7">
        <w:rPr>
          <w:rFonts w:cs="Arial"/>
          <w:lang w:val="en-GB"/>
        </w:rPr>
        <w:t xml:space="preserve">an offer of accommodation at </w:t>
      </w:r>
      <w:r w:rsidR="00CC70DD" w:rsidRPr="00EC24F7">
        <w:rPr>
          <w:rFonts w:cs="Arial"/>
          <w:lang w:val="en-GB"/>
        </w:rPr>
        <w:t>City Safe Spaces constitute</w:t>
      </w:r>
      <w:r w:rsidR="0005049C" w:rsidRPr="00EC24F7">
        <w:rPr>
          <w:rFonts w:cs="Arial"/>
          <w:lang w:val="en-GB"/>
        </w:rPr>
        <w:t xml:space="preserve">s an appropriate offer of </w:t>
      </w:r>
      <w:r w:rsidR="0005049C" w:rsidRPr="00EC24F7">
        <w:rPr>
          <w:rFonts w:cs="Arial"/>
          <w:lang w:val="en-GB"/>
        </w:rPr>
        <w:lastRenderedPageBreak/>
        <w:t>alternative accommodation to persons facing eviction is whether they can be characterised as rough sleepers or as</w:t>
      </w:r>
      <w:r w:rsidR="00871248" w:rsidRPr="00EC24F7">
        <w:rPr>
          <w:rFonts w:cs="Arial"/>
          <w:lang w:val="en-GB"/>
        </w:rPr>
        <w:t xml:space="preserve"> transient, </w:t>
      </w:r>
      <w:r w:rsidR="0005049C" w:rsidRPr="00EC24F7">
        <w:rPr>
          <w:rFonts w:cs="Arial"/>
          <w:lang w:val="en-GB"/>
        </w:rPr>
        <w:t xml:space="preserve">in that they </w:t>
      </w:r>
      <w:r w:rsidR="0005049C" w:rsidRPr="00EC24F7">
        <w:rPr>
          <w:rFonts w:cs="Arial"/>
          <w:color w:val="000000" w:themeColor="text1"/>
          <w:lang w:val="en-GB"/>
        </w:rPr>
        <w:t>reside on the streets</w:t>
      </w:r>
      <w:r w:rsidR="0005049C" w:rsidRPr="00EC24F7">
        <w:rPr>
          <w:rFonts w:cs="Arial"/>
          <w:color w:val="000000" w:themeColor="text1"/>
          <w:lang w:val="en-GB"/>
        </w:rPr>
        <w:t xml:space="preserve">; </w:t>
      </w:r>
      <w:r w:rsidR="00871248" w:rsidRPr="00EC24F7">
        <w:rPr>
          <w:rFonts w:cs="Arial"/>
          <w:lang w:val="en-GB"/>
        </w:rPr>
        <w:t xml:space="preserve">move </w:t>
      </w:r>
      <w:r w:rsidR="00871248" w:rsidRPr="00EC24F7">
        <w:rPr>
          <w:rFonts w:cs="Arial"/>
          <w:color w:val="000000" w:themeColor="text1"/>
          <w:lang w:val="en-GB"/>
        </w:rPr>
        <w:t>on a regular (daily or weekly) basis from one location to another with their possessions</w:t>
      </w:r>
      <w:r w:rsidR="0005049C" w:rsidRPr="00EC24F7">
        <w:rPr>
          <w:rFonts w:cs="Arial"/>
          <w:color w:val="000000" w:themeColor="text1"/>
          <w:lang w:val="en-GB"/>
        </w:rPr>
        <w:t>;</w:t>
      </w:r>
      <w:r w:rsidR="00871248" w:rsidRPr="00EC24F7">
        <w:rPr>
          <w:rFonts w:cs="Arial"/>
          <w:color w:val="000000" w:themeColor="text1"/>
          <w:lang w:val="en-GB"/>
        </w:rPr>
        <w:t xml:space="preserve"> their structures are </w:t>
      </w:r>
      <w:r w:rsidR="0005049C" w:rsidRPr="00EC24F7">
        <w:rPr>
          <w:rFonts w:cs="Arial"/>
          <w:color w:val="000000" w:themeColor="text1"/>
          <w:lang w:val="en-GB"/>
        </w:rPr>
        <w:t xml:space="preserve">not </w:t>
      </w:r>
      <w:r w:rsidR="00871248" w:rsidRPr="00EC24F7">
        <w:rPr>
          <w:rFonts w:cs="Arial"/>
          <w:color w:val="000000" w:themeColor="text1"/>
          <w:lang w:val="en-GB"/>
        </w:rPr>
        <w:t xml:space="preserve">fixed </w:t>
      </w:r>
      <w:r w:rsidR="0005049C" w:rsidRPr="00EC24F7">
        <w:rPr>
          <w:rFonts w:cs="Arial"/>
          <w:color w:val="000000" w:themeColor="text1"/>
          <w:lang w:val="en-GB"/>
        </w:rPr>
        <w:t>but rather are</w:t>
      </w:r>
      <w:r w:rsidR="00871248" w:rsidRPr="00EC24F7">
        <w:rPr>
          <w:rFonts w:cs="Arial"/>
          <w:color w:val="000000" w:themeColor="text1"/>
          <w:lang w:val="en-GB"/>
        </w:rPr>
        <w:t xml:space="preserve"> temporary structures which are easily erected and dismantled </w:t>
      </w:r>
      <w:r w:rsidR="00871248" w:rsidRPr="00EC24F7">
        <w:rPr>
          <w:rFonts w:cs="Arial"/>
          <w:color w:val="000000" w:themeColor="text1"/>
          <w:u w:val="single"/>
          <w:lang w:val="en-GB"/>
        </w:rPr>
        <w:t>and</w:t>
      </w:r>
      <w:r w:rsidR="00871248" w:rsidRPr="00EC24F7">
        <w:rPr>
          <w:rFonts w:cs="Arial"/>
          <w:color w:val="000000" w:themeColor="text1"/>
          <w:lang w:val="en-GB"/>
        </w:rPr>
        <w:t xml:space="preserve"> which were not permanently placed in a particular area.</w:t>
      </w:r>
      <w:r w:rsidR="0005049C" w:rsidRPr="00EC24F7">
        <w:rPr>
          <w:rStyle w:val="FootnoteReference"/>
          <w:rFonts w:cs="Arial"/>
          <w:color w:val="000000" w:themeColor="text1"/>
          <w:lang w:val="en-GB"/>
        </w:rPr>
        <w:footnoteReference w:id="168"/>
      </w:r>
      <w:r w:rsidR="00B13D73" w:rsidRPr="00EC24F7">
        <w:rPr>
          <w:rFonts w:cs="Arial"/>
          <w:color w:val="000000" w:themeColor="text1"/>
          <w:lang w:val="en-GB"/>
        </w:rPr>
        <w:t xml:space="preserve">  </w:t>
      </w:r>
      <w:r w:rsidR="00BE18B1" w:rsidRPr="00EC24F7">
        <w:rPr>
          <w:rFonts w:cs="Arial"/>
          <w:color w:val="000000"/>
          <w:lang w:val="en-GB"/>
        </w:rPr>
        <w:t xml:space="preserve">As this Court has noted in </w:t>
      </w:r>
      <w:r w:rsidR="00B13D73" w:rsidRPr="00EC24F7">
        <w:rPr>
          <w:rFonts w:cs="Arial"/>
          <w:i/>
          <w:iCs/>
          <w:lang w:val="en-GB"/>
        </w:rPr>
        <w:t>City of Cape Town v Various Occupiers</w:t>
      </w:r>
      <w:r w:rsidR="00B13D73" w:rsidRPr="00EC24F7">
        <w:rPr>
          <w:rStyle w:val="FootnoteReference"/>
          <w:rFonts w:cs="Arial"/>
          <w:lang w:val="en-GB"/>
        </w:rPr>
        <w:footnoteReference w:id="169"/>
      </w:r>
      <w:r w:rsidR="00B13D73" w:rsidRPr="00EC24F7">
        <w:rPr>
          <w:rFonts w:cs="Arial"/>
          <w:i/>
          <w:iCs/>
          <w:lang w:val="en-GB"/>
        </w:rPr>
        <w:t xml:space="preserve"> </w:t>
      </w:r>
      <w:r w:rsidR="00B13D73" w:rsidRPr="00EC24F7">
        <w:rPr>
          <w:rFonts w:cs="Arial"/>
          <w:color w:val="242121"/>
          <w:lang w:val="en-US"/>
        </w:rPr>
        <w:t>t</w:t>
      </w:r>
      <w:r w:rsidR="00B13D73" w:rsidRPr="00EC24F7">
        <w:rPr>
          <w:rFonts w:cs="Arial"/>
          <w:color w:val="242121"/>
          <w:lang w:val="en-US"/>
        </w:rPr>
        <w:t>he City</w:t>
      </w:r>
      <w:r w:rsidR="00337233" w:rsidRPr="00EC24F7">
        <w:rPr>
          <w:rFonts w:cs="Arial"/>
          <w:color w:val="242121"/>
          <w:lang w:val="en-US"/>
        </w:rPr>
        <w:t xml:space="preserve">’s Safe Spaces programme has as its </w:t>
      </w:r>
      <w:r w:rsidR="00B13D73" w:rsidRPr="00EC24F7">
        <w:rPr>
          <w:rFonts w:cs="Arial"/>
          <w:color w:val="242121"/>
          <w:lang w:val="en-US"/>
        </w:rPr>
        <w:t>approach three pillars</w:t>
      </w:r>
      <w:r w:rsidR="00337233" w:rsidRPr="00EC24F7">
        <w:rPr>
          <w:rFonts w:cs="Arial"/>
          <w:color w:val="242121"/>
          <w:lang w:val="en-US"/>
        </w:rPr>
        <w:t xml:space="preserve"> –</w:t>
      </w:r>
      <w:r w:rsidR="00B13D73" w:rsidRPr="00EC24F7">
        <w:rPr>
          <w:rFonts w:cs="Arial"/>
          <w:color w:val="242121"/>
          <w:lang w:val="en-US"/>
        </w:rPr>
        <w:t xml:space="preserve"> rehabilitation</w:t>
      </w:r>
      <w:r w:rsidR="00337233" w:rsidRPr="00EC24F7">
        <w:rPr>
          <w:rFonts w:cs="Arial"/>
          <w:color w:val="242121"/>
          <w:lang w:val="en-US"/>
        </w:rPr>
        <w:t xml:space="preserve">, which </w:t>
      </w:r>
      <w:r w:rsidR="00337233" w:rsidRPr="00EC24F7">
        <w:rPr>
          <w:rFonts w:cs="Arial"/>
          <w:color w:val="242121"/>
          <w:lang w:val="en-US"/>
        </w:rPr>
        <w:t>addresses drug addiction, and treatment for mental or other illnesses</w:t>
      </w:r>
      <w:r w:rsidR="00B13D73" w:rsidRPr="00EC24F7">
        <w:rPr>
          <w:rFonts w:cs="Arial"/>
          <w:color w:val="242121"/>
          <w:lang w:val="en-US"/>
        </w:rPr>
        <w:t>; reintegration</w:t>
      </w:r>
      <w:r w:rsidR="00E02233" w:rsidRPr="00EC24F7">
        <w:rPr>
          <w:rFonts w:cs="Arial"/>
          <w:color w:val="242121"/>
          <w:lang w:val="en-US"/>
        </w:rPr>
        <w:t xml:space="preserve">, which </w:t>
      </w:r>
      <w:r w:rsidR="00E02233" w:rsidRPr="00EC24F7">
        <w:rPr>
          <w:rFonts w:cs="Arial"/>
          <w:color w:val="242121"/>
          <w:lang w:val="en-US"/>
        </w:rPr>
        <w:t>focuses on employment</w:t>
      </w:r>
      <w:r w:rsidR="00727270">
        <w:rPr>
          <w:rFonts w:cs="Arial"/>
          <w:color w:val="242121"/>
          <w:lang w:val="en-US"/>
        </w:rPr>
        <w:t>,</w:t>
      </w:r>
      <w:r w:rsidR="00E02233" w:rsidRPr="00EC24F7">
        <w:rPr>
          <w:rFonts w:cs="Arial"/>
          <w:color w:val="242121"/>
          <w:lang w:val="en-US"/>
        </w:rPr>
        <w:t xml:space="preserve"> reunification with families, assisting people to obtain </w:t>
      </w:r>
      <w:r w:rsidR="00E02233" w:rsidRPr="00EC24F7">
        <w:rPr>
          <w:rFonts w:cs="Arial"/>
          <w:color w:val="242121"/>
          <w:lang w:val="en-US"/>
        </w:rPr>
        <w:t>identity</w:t>
      </w:r>
      <w:r w:rsidR="00E02233" w:rsidRPr="00EC24F7">
        <w:rPr>
          <w:rFonts w:cs="Arial"/>
          <w:color w:val="242121"/>
          <w:lang w:val="en-US"/>
        </w:rPr>
        <w:t xml:space="preserve"> documents, and developing skills to enable people to lead functional lives</w:t>
      </w:r>
      <w:r w:rsidR="00CC7381">
        <w:rPr>
          <w:rFonts w:cs="Arial"/>
          <w:color w:val="242121"/>
          <w:lang w:val="en-US"/>
        </w:rPr>
        <w:t>;</w:t>
      </w:r>
      <w:r w:rsidR="00B13D73" w:rsidRPr="00EC24F7">
        <w:rPr>
          <w:rFonts w:cs="Arial"/>
          <w:color w:val="242121"/>
          <w:lang w:val="en-US"/>
        </w:rPr>
        <w:t xml:space="preserve"> and an immediate alternative to living on the streets.</w:t>
      </w:r>
      <w:r w:rsidR="00AE6F40" w:rsidRPr="00EC24F7">
        <w:rPr>
          <w:rFonts w:cs="Arial"/>
          <w:color w:val="242121"/>
          <w:lang w:val="en-US"/>
        </w:rPr>
        <w:t xml:space="preserve">  </w:t>
      </w:r>
    </w:p>
    <w:p w14:paraId="04E8E3FA" w14:textId="49B4B4B4" w:rsidR="00B45BBD" w:rsidRPr="00EC24F7" w:rsidRDefault="009F7326" w:rsidP="00B45BBD">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color w:val="000000"/>
          <w:lang w:val="en-GB"/>
        </w:rPr>
        <w:t>The City</w:t>
      </w:r>
      <w:r w:rsidR="00CC7381">
        <w:rPr>
          <w:rFonts w:cs="Arial"/>
          <w:color w:val="000000"/>
          <w:lang w:val="en-GB"/>
        </w:rPr>
        <w:t>’s</w:t>
      </w:r>
      <w:r w:rsidRPr="00EC24F7">
        <w:rPr>
          <w:rFonts w:cs="Arial"/>
          <w:color w:val="000000"/>
          <w:lang w:val="en-GB"/>
        </w:rPr>
        <w:t xml:space="preserve"> </w:t>
      </w:r>
      <w:r w:rsidR="009B3FA8" w:rsidRPr="00EC24F7">
        <w:rPr>
          <w:rFonts w:cs="Arial"/>
          <w:color w:val="000000"/>
          <w:lang w:val="en-GB"/>
        </w:rPr>
        <w:t>contention that</w:t>
      </w:r>
      <w:r w:rsidRPr="00EC24F7">
        <w:rPr>
          <w:rFonts w:cs="Arial"/>
          <w:color w:val="000000"/>
          <w:lang w:val="en-GB"/>
        </w:rPr>
        <w:t xml:space="preserve"> the unlawful occupiers do not meet the profile of </w:t>
      </w:r>
      <w:r w:rsidR="009B3FA8" w:rsidRPr="00EC24F7">
        <w:rPr>
          <w:rFonts w:cs="Arial"/>
          <w:color w:val="000000"/>
          <w:lang w:val="en-GB"/>
        </w:rPr>
        <w:t>persons</w:t>
      </w:r>
      <w:r w:rsidRPr="00EC24F7">
        <w:rPr>
          <w:rFonts w:cs="Arial"/>
          <w:color w:val="000000"/>
          <w:lang w:val="en-GB"/>
        </w:rPr>
        <w:t xml:space="preserve"> for </w:t>
      </w:r>
      <w:r w:rsidR="009B3FA8" w:rsidRPr="00EC24F7">
        <w:rPr>
          <w:rFonts w:cs="Arial"/>
          <w:color w:val="000000"/>
          <w:lang w:val="en-GB"/>
        </w:rPr>
        <w:t>whom</w:t>
      </w:r>
      <w:r w:rsidRPr="00EC24F7">
        <w:rPr>
          <w:rFonts w:cs="Arial"/>
          <w:color w:val="000000"/>
          <w:lang w:val="en-GB"/>
        </w:rPr>
        <w:t xml:space="preserve"> Safe Space</w:t>
      </w:r>
      <w:r w:rsidR="009B3FA8" w:rsidRPr="00EC24F7">
        <w:rPr>
          <w:rFonts w:cs="Arial"/>
          <w:color w:val="000000"/>
          <w:lang w:val="en-GB"/>
        </w:rPr>
        <w:t>s</w:t>
      </w:r>
      <w:r w:rsidRPr="00EC24F7">
        <w:rPr>
          <w:rFonts w:cs="Arial"/>
          <w:color w:val="000000"/>
          <w:lang w:val="en-GB"/>
        </w:rPr>
        <w:t xml:space="preserve"> </w:t>
      </w:r>
      <w:r w:rsidR="009B3FA8" w:rsidRPr="00EC24F7">
        <w:rPr>
          <w:rFonts w:cs="Arial"/>
          <w:color w:val="000000"/>
          <w:lang w:val="en-GB"/>
        </w:rPr>
        <w:t xml:space="preserve">are appropriate and that </w:t>
      </w:r>
      <w:r w:rsidR="009B3FA8" w:rsidRPr="00EC24F7">
        <w:rPr>
          <w:rFonts w:cs="Arial"/>
          <w:color w:val="000000"/>
          <w:lang w:val="en-GB"/>
        </w:rPr>
        <w:t>to accommodate the unlawful occupiers at Safe Spaces would fundamentally disrupt the purpose of the Safe Space initiative</w:t>
      </w:r>
      <w:r w:rsidR="00B45BBD" w:rsidRPr="00EC24F7">
        <w:rPr>
          <w:rFonts w:cs="Arial"/>
          <w:color w:val="000000"/>
          <w:lang w:val="en-GB"/>
        </w:rPr>
        <w:t xml:space="preserve"> are not meaningfully disputed by any of the parties</w:t>
      </w:r>
      <w:r w:rsidRPr="00EC24F7">
        <w:rPr>
          <w:rFonts w:cs="Arial"/>
          <w:color w:val="000000"/>
          <w:lang w:val="en-GB"/>
        </w:rPr>
        <w:t>.</w:t>
      </w:r>
      <w:r w:rsidRPr="00EC24F7">
        <w:rPr>
          <w:rStyle w:val="FootnoteReference"/>
          <w:rFonts w:cs="Arial"/>
          <w:color w:val="000000"/>
          <w:lang w:val="en-GB"/>
        </w:rPr>
        <w:footnoteReference w:id="170"/>
      </w:r>
      <w:r w:rsidRPr="00EC24F7">
        <w:rPr>
          <w:rFonts w:cs="Arial"/>
          <w:color w:val="000000"/>
          <w:lang w:val="en-GB"/>
        </w:rPr>
        <w:t xml:space="preserve"> </w:t>
      </w:r>
      <w:r w:rsidR="0023191A" w:rsidRPr="00EC24F7">
        <w:rPr>
          <w:rFonts w:cs="Arial"/>
          <w:color w:val="000000"/>
          <w:lang w:val="en-GB"/>
        </w:rPr>
        <w:t xml:space="preserve"> </w:t>
      </w:r>
      <w:r w:rsidR="001F5239" w:rsidRPr="00EC24F7">
        <w:rPr>
          <w:rFonts w:cs="Arial"/>
          <w:color w:val="000000"/>
          <w:lang w:val="en-GB"/>
        </w:rPr>
        <w:t xml:space="preserve">It is not disputed that Mr Al-Habsy’s contentions in this regard are </w:t>
      </w:r>
      <w:r w:rsidR="00A45734" w:rsidRPr="00EC24F7">
        <w:rPr>
          <w:rFonts w:cs="Arial"/>
          <w:color w:val="000000"/>
          <w:lang w:val="en-GB"/>
        </w:rPr>
        <w:t>incorrect</w:t>
      </w:r>
      <w:r w:rsidR="001F5239" w:rsidRPr="00EC24F7">
        <w:rPr>
          <w:rFonts w:cs="Arial"/>
          <w:color w:val="000000"/>
          <w:lang w:val="en-GB"/>
        </w:rPr>
        <w:t xml:space="preserve"> and not based on any</w:t>
      </w:r>
      <w:r w:rsidR="00A45734" w:rsidRPr="00EC24F7">
        <w:rPr>
          <w:rFonts w:cs="Arial"/>
          <w:color w:val="000000"/>
          <w:lang w:val="en-GB"/>
        </w:rPr>
        <w:t xml:space="preserve"> fact</w:t>
      </w:r>
      <w:r w:rsidR="000036F7" w:rsidRPr="00EC24F7">
        <w:rPr>
          <w:rFonts w:cs="Arial"/>
          <w:color w:val="000000"/>
          <w:lang w:val="en-GB"/>
        </w:rPr>
        <w:t>s within his knowledge.</w:t>
      </w:r>
      <w:r w:rsidR="009569DC" w:rsidRPr="00EC24F7">
        <w:rPr>
          <w:rStyle w:val="FootnoteReference"/>
          <w:rFonts w:cs="Arial"/>
          <w:color w:val="000000"/>
          <w:lang w:val="en-GB"/>
        </w:rPr>
        <w:footnoteReference w:id="171"/>
      </w:r>
      <w:r w:rsidR="001F5239" w:rsidRPr="00EC24F7">
        <w:rPr>
          <w:rFonts w:cs="Arial"/>
          <w:color w:val="000000"/>
          <w:lang w:val="en-GB"/>
        </w:rPr>
        <w:t xml:space="preserve">  </w:t>
      </w:r>
      <w:r w:rsidR="001148DA" w:rsidRPr="00EC24F7">
        <w:rPr>
          <w:rFonts w:cs="Arial"/>
          <w:color w:val="000000"/>
          <w:lang w:val="en-GB"/>
        </w:rPr>
        <w:t xml:space="preserve">Transnet’s only response is the incorrect contention that </w:t>
      </w:r>
      <w:r w:rsidR="001148DA" w:rsidRPr="00EC24F7">
        <w:rPr>
          <w:rFonts w:cs="Arial"/>
          <w:color w:val="000000"/>
          <w:lang w:val="en-GB"/>
        </w:rPr>
        <w:t>Safe Spaces are restricted to persons residing on City owned land</w:t>
      </w:r>
      <w:r w:rsidR="00F30392" w:rsidRPr="00EC24F7">
        <w:rPr>
          <w:rFonts w:cs="Arial"/>
          <w:color w:val="000000"/>
          <w:lang w:val="en-GB"/>
        </w:rPr>
        <w:t xml:space="preserve"> based on</w:t>
      </w:r>
      <w:r w:rsidR="00A01905" w:rsidRPr="00EC24F7">
        <w:rPr>
          <w:rFonts w:cs="Arial"/>
          <w:color w:val="000000"/>
          <w:lang w:val="en-GB"/>
        </w:rPr>
        <w:t xml:space="preserve"> </w:t>
      </w:r>
      <w:r w:rsidR="00A01905" w:rsidRPr="00EC24F7">
        <w:rPr>
          <w:rFonts w:cs="Arial"/>
          <w:lang w:val="en-GB"/>
        </w:rPr>
        <w:t>selective quot</w:t>
      </w:r>
      <w:r w:rsidR="0026371B" w:rsidRPr="00EC24F7">
        <w:rPr>
          <w:rFonts w:cs="Arial"/>
          <w:lang w:val="en-GB"/>
        </w:rPr>
        <w:t>ations</w:t>
      </w:r>
      <w:r w:rsidR="00A01905" w:rsidRPr="00EC24F7">
        <w:rPr>
          <w:rFonts w:cs="Arial"/>
          <w:lang w:val="en-GB"/>
        </w:rPr>
        <w:t xml:space="preserve"> </w:t>
      </w:r>
      <w:r w:rsidR="00A32E69" w:rsidRPr="00EC24F7">
        <w:rPr>
          <w:rFonts w:cs="Arial"/>
          <w:lang w:val="en-GB"/>
        </w:rPr>
        <w:t>of portions of</w:t>
      </w:r>
      <w:r w:rsidR="00A01905" w:rsidRPr="00EC24F7">
        <w:rPr>
          <w:rFonts w:cs="Arial"/>
          <w:lang w:val="en-GB"/>
        </w:rPr>
        <w:t xml:space="preserve"> the City’s answering affidavit</w:t>
      </w:r>
      <w:r w:rsidR="001148DA" w:rsidRPr="00EC24F7">
        <w:rPr>
          <w:rFonts w:cs="Arial"/>
          <w:color w:val="000000"/>
          <w:lang w:val="en-GB"/>
        </w:rPr>
        <w:t>.</w:t>
      </w:r>
      <w:r w:rsidR="001148DA" w:rsidRPr="00EC24F7">
        <w:rPr>
          <w:rStyle w:val="FootnoteReference"/>
          <w:rFonts w:cs="Arial"/>
          <w:color w:val="000000"/>
          <w:lang w:val="en-GB"/>
        </w:rPr>
        <w:footnoteReference w:id="172"/>
      </w:r>
      <w:r w:rsidR="001148DA" w:rsidRPr="00EC24F7">
        <w:rPr>
          <w:rFonts w:cs="Arial"/>
          <w:color w:val="000000"/>
          <w:lang w:val="en-GB"/>
        </w:rPr>
        <w:t xml:space="preserve">  </w:t>
      </w:r>
      <w:r w:rsidR="00B45BBD" w:rsidRPr="00EC24F7">
        <w:rPr>
          <w:rFonts w:cs="Arial"/>
          <w:color w:val="000000"/>
          <w:lang w:val="en-GB"/>
        </w:rPr>
        <w:t>T</w:t>
      </w:r>
      <w:r w:rsidR="00B45BBD" w:rsidRPr="00EC24F7">
        <w:rPr>
          <w:rFonts w:cs="Arial"/>
          <w:color w:val="242121"/>
          <w:lang w:val="en-US"/>
        </w:rPr>
        <w:t xml:space="preserve">here is no </w:t>
      </w:r>
      <w:r w:rsidR="00B45BBD" w:rsidRPr="00EC24F7">
        <w:rPr>
          <w:rFonts w:cs="Arial"/>
          <w:color w:val="000000"/>
          <w:lang w:val="en-GB"/>
        </w:rPr>
        <w:t>factual basis for the</w:t>
      </w:r>
      <w:r w:rsidR="0023191A" w:rsidRPr="00EC24F7">
        <w:rPr>
          <w:rFonts w:cs="Arial"/>
          <w:color w:val="000000"/>
          <w:lang w:val="en-GB"/>
        </w:rPr>
        <w:t>se</w:t>
      </w:r>
      <w:r w:rsidR="00B45BBD" w:rsidRPr="00EC24F7">
        <w:rPr>
          <w:rFonts w:cs="Arial"/>
          <w:color w:val="000000"/>
          <w:lang w:val="en-GB"/>
        </w:rPr>
        <w:t xml:space="preserve"> contention</w:t>
      </w:r>
      <w:r w:rsidR="0023191A" w:rsidRPr="00EC24F7">
        <w:rPr>
          <w:rFonts w:cs="Arial"/>
          <w:color w:val="000000"/>
          <w:lang w:val="en-GB"/>
        </w:rPr>
        <w:t>s</w:t>
      </w:r>
      <w:r w:rsidR="00B45BBD" w:rsidRPr="00EC24F7">
        <w:rPr>
          <w:rFonts w:cs="Arial"/>
          <w:color w:val="000000"/>
          <w:lang w:val="en-GB"/>
        </w:rPr>
        <w:t xml:space="preserve"> given the uncontested </w:t>
      </w:r>
      <w:r w:rsidR="00B45BBD" w:rsidRPr="00EC24F7">
        <w:rPr>
          <w:rFonts w:cs="Arial"/>
          <w:color w:val="000000"/>
          <w:lang w:val="en-GB"/>
        </w:rPr>
        <w:lastRenderedPageBreak/>
        <w:t xml:space="preserve">evidence that Safe Spaces have been offered to persons evicted from land </w:t>
      </w:r>
      <w:r w:rsidR="00B45BBD" w:rsidRPr="00EC24F7">
        <w:rPr>
          <w:rFonts w:cs="Arial"/>
          <w:lang w:val="en-GB"/>
        </w:rPr>
        <w:t>by the National Department of Public Works.</w:t>
      </w:r>
      <w:r w:rsidR="00B45BBD" w:rsidRPr="00EC24F7">
        <w:rPr>
          <w:rStyle w:val="FootnoteReference"/>
          <w:rFonts w:cs="Arial"/>
          <w:lang w:val="en-GB"/>
        </w:rPr>
        <w:footnoteReference w:id="173"/>
      </w:r>
    </w:p>
    <w:p w14:paraId="70B41E68" w14:textId="193CDC89" w:rsidR="009F7326" w:rsidRPr="00EC24F7" w:rsidRDefault="009F7326" w:rsidP="00DC7050">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lang w:val="en-GB"/>
        </w:rPr>
        <w:t xml:space="preserve">It is abundantly clear that the </w:t>
      </w:r>
      <w:r w:rsidR="00DC7050" w:rsidRPr="00EC24F7">
        <w:rPr>
          <w:rFonts w:cs="Arial"/>
          <w:lang w:val="en-GB"/>
        </w:rPr>
        <w:t xml:space="preserve">unlawful </w:t>
      </w:r>
      <w:r w:rsidRPr="00EC24F7">
        <w:rPr>
          <w:rFonts w:cs="Arial"/>
          <w:lang w:val="en-GB"/>
        </w:rPr>
        <w:t xml:space="preserve">occupiers </w:t>
      </w:r>
      <w:r w:rsidR="00DC7050" w:rsidRPr="00EC24F7">
        <w:rPr>
          <w:rFonts w:cs="Arial"/>
          <w:lang w:val="en-GB"/>
        </w:rPr>
        <w:t>do not reside on the streets, are not transient and</w:t>
      </w:r>
      <w:r w:rsidRPr="00EC24F7">
        <w:rPr>
          <w:rFonts w:cs="Arial"/>
          <w:lang w:val="en-GB"/>
        </w:rPr>
        <w:t xml:space="preserve"> </w:t>
      </w:r>
      <w:r w:rsidR="00DC7050" w:rsidRPr="00EC24F7">
        <w:rPr>
          <w:rFonts w:cs="Arial"/>
          <w:lang w:val="en-GB"/>
        </w:rPr>
        <w:t>that</w:t>
      </w:r>
      <w:r w:rsidRPr="00EC24F7">
        <w:rPr>
          <w:rFonts w:cs="Arial"/>
          <w:lang w:val="en-GB"/>
        </w:rPr>
        <w:t xml:space="preserve"> they reside in informal structures on a permanent basis. They are not transient homeless persons. </w:t>
      </w:r>
    </w:p>
    <w:p w14:paraId="4328E131" w14:textId="07534612" w:rsidR="009F7326" w:rsidRPr="00EC24F7" w:rsidRDefault="009D5F86" w:rsidP="00B13A09">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lang w:val="en-GB"/>
        </w:rPr>
        <w:t xml:space="preserve">The contention in Transnet’s heads of argument that </w:t>
      </w:r>
      <w:r w:rsidR="006464DB" w:rsidRPr="00EC24F7">
        <w:rPr>
          <w:rFonts w:cs="Arial"/>
          <w:lang w:val="en-GB"/>
        </w:rPr>
        <w:t>the City’s position that the unlawful occupiers do not meet the criteria to be offered Safe Spaces is discriminatory</w:t>
      </w:r>
      <w:r w:rsidR="004A1558" w:rsidRPr="00EC24F7">
        <w:rPr>
          <w:rFonts w:cs="Arial"/>
          <w:lang w:val="en-GB"/>
        </w:rPr>
        <w:t xml:space="preserve"> and akin to the conduct that was determined to be unlawful </w:t>
      </w:r>
      <w:r w:rsidR="00CF5FAC" w:rsidRPr="00EC24F7">
        <w:rPr>
          <w:rFonts w:cs="Arial"/>
          <w:lang w:val="en-GB"/>
        </w:rPr>
        <w:t xml:space="preserve">by the Constitutional Court in </w:t>
      </w:r>
      <w:r w:rsidR="00CF5FAC" w:rsidRPr="00EC24F7">
        <w:rPr>
          <w:rFonts w:cs="Arial"/>
          <w:i/>
          <w:iCs/>
          <w:lang w:val="en-GB"/>
        </w:rPr>
        <w:t>Blue Moonlight</w:t>
      </w:r>
      <w:r w:rsidR="00E76DE7" w:rsidRPr="00EC24F7">
        <w:rPr>
          <w:rStyle w:val="FootnoteReference"/>
          <w:rFonts w:cs="Arial"/>
          <w:lang w:val="en-GB"/>
        </w:rPr>
        <w:footnoteReference w:id="174"/>
      </w:r>
      <w:r w:rsidR="004A1558" w:rsidRPr="00EC24F7">
        <w:rPr>
          <w:rFonts w:cs="Arial"/>
          <w:lang w:val="en-GB"/>
        </w:rPr>
        <w:t xml:space="preserve"> </w:t>
      </w:r>
      <w:r w:rsidR="006464DB" w:rsidRPr="00EC24F7">
        <w:rPr>
          <w:rFonts w:cs="Arial"/>
          <w:lang w:val="en-GB"/>
        </w:rPr>
        <w:t>is wholly without merit.</w:t>
      </w:r>
      <w:r w:rsidR="00B13A09" w:rsidRPr="00EC24F7">
        <w:rPr>
          <w:rFonts w:cs="Arial"/>
          <w:lang w:val="en-GB"/>
        </w:rPr>
        <w:t xml:space="preserve"> </w:t>
      </w:r>
      <w:r w:rsidR="008F0406">
        <w:rPr>
          <w:rFonts w:cs="Arial"/>
          <w:lang w:val="en-GB"/>
        </w:rPr>
        <w:t xml:space="preserve"> </w:t>
      </w:r>
      <w:r w:rsidR="009F7326" w:rsidRPr="00EC24F7">
        <w:rPr>
          <w:rFonts w:cs="Arial"/>
          <w:lang w:val="en-GB"/>
        </w:rPr>
        <w:t xml:space="preserve">Quite apart from the fact that there is no challenge to any City </w:t>
      </w:r>
      <w:r w:rsidR="00B13A09" w:rsidRPr="00EC24F7">
        <w:rPr>
          <w:rFonts w:cs="Arial"/>
          <w:lang w:val="en-GB"/>
        </w:rPr>
        <w:t>p</w:t>
      </w:r>
      <w:r w:rsidR="009F7326" w:rsidRPr="00EC24F7">
        <w:rPr>
          <w:rFonts w:cs="Arial"/>
          <w:lang w:val="en-GB"/>
        </w:rPr>
        <w:t xml:space="preserve">olicy on Safe Spaces, the analogy sought to be drawn by Transnet </w:t>
      </w:r>
      <w:r w:rsidR="00B13A09" w:rsidRPr="00EC24F7">
        <w:rPr>
          <w:rFonts w:cs="Arial"/>
          <w:lang w:val="en-GB"/>
        </w:rPr>
        <w:t>does not withstand scrutiny</w:t>
      </w:r>
      <w:r w:rsidR="008A36D7" w:rsidRPr="00EC24F7">
        <w:rPr>
          <w:rFonts w:cs="Arial"/>
          <w:lang w:val="en-GB"/>
        </w:rPr>
        <w:t xml:space="preserve"> because it is primarily based on the erroneous contention that the City only offers Safe Spaces to those residing on City owned lan</w:t>
      </w:r>
      <w:r w:rsidR="00C57C14" w:rsidRPr="00EC24F7">
        <w:rPr>
          <w:rFonts w:cs="Arial"/>
          <w:lang w:val="en-GB"/>
        </w:rPr>
        <w:t xml:space="preserve">d </w:t>
      </w:r>
      <w:r w:rsidR="008A36D7" w:rsidRPr="00EC24F7">
        <w:rPr>
          <w:rFonts w:cs="Arial"/>
          <w:lang w:val="en-GB"/>
        </w:rPr>
        <w:t>which</w:t>
      </w:r>
      <w:r w:rsidR="00AA160C">
        <w:rPr>
          <w:rFonts w:cs="Arial"/>
          <w:lang w:val="en-GB"/>
        </w:rPr>
        <w:t>,</w:t>
      </w:r>
      <w:r w:rsidR="008A36D7" w:rsidRPr="00EC24F7">
        <w:rPr>
          <w:rFonts w:cs="Arial"/>
          <w:lang w:val="en-GB"/>
        </w:rPr>
        <w:t xml:space="preserve"> as the evidence demonstrates</w:t>
      </w:r>
      <w:r w:rsidR="00AA160C">
        <w:rPr>
          <w:rFonts w:cs="Arial"/>
          <w:lang w:val="en-GB"/>
        </w:rPr>
        <w:t>,</w:t>
      </w:r>
      <w:r w:rsidR="008A36D7" w:rsidRPr="00EC24F7">
        <w:rPr>
          <w:rFonts w:cs="Arial"/>
          <w:lang w:val="en-GB"/>
        </w:rPr>
        <w:t xml:space="preserve"> is simply not the case</w:t>
      </w:r>
      <w:r w:rsidR="00E76DE7" w:rsidRPr="00EC24F7">
        <w:rPr>
          <w:rFonts w:cs="Arial"/>
          <w:lang w:val="en-GB"/>
        </w:rPr>
        <w:t>,</w:t>
      </w:r>
      <w:r w:rsidR="002B4FA4" w:rsidRPr="00EC24F7">
        <w:rPr>
          <w:rFonts w:cs="Arial"/>
          <w:lang w:val="en-GB"/>
        </w:rPr>
        <w:t xml:space="preserve"> and that the City has failed to meaningfully engage with the unlawful occupiers </w:t>
      </w:r>
      <w:r w:rsidR="00E76DE7" w:rsidRPr="00EC24F7">
        <w:rPr>
          <w:rFonts w:cs="Arial"/>
          <w:lang w:val="en-GB"/>
        </w:rPr>
        <w:t>to ascertain their eligibility</w:t>
      </w:r>
      <w:r w:rsidR="00AA160C">
        <w:rPr>
          <w:rFonts w:cs="Arial"/>
          <w:lang w:val="en-GB"/>
        </w:rPr>
        <w:t>,</w:t>
      </w:r>
      <w:r w:rsidR="00E76DE7" w:rsidRPr="00EC24F7">
        <w:rPr>
          <w:rFonts w:cs="Arial"/>
          <w:lang w:val="en-GB"/>
        </w:rPr>
        <w:t xml:space="preserve"> </w:t>
      </w:r>
      <w:r w:rsidR="002B4FA4" w:rsidRPr="00EC24F7">
        <w:rPr>
          <w:rFonts w:cs="Arial"/>
          <w:lang w:val="en-GB"/>
        </w:rPr>
        <w:t>which as demonstrated above</w:t>
      </w:r>
      <w:r w:rsidR="00AA160C">
        <w:rPr>
          <w:rFonts w:cs="Arial"/>
          <w:lang w:val="en-GB"/>
        </w:rPr>
        <w:t>,</w:t>
      </w:r>
      <w:r w:rsidR="002B4FA4" w:rsidRPr="00EC24F7">
        <w:rPr>
          <w:rFonts w:cs="Arial"/>
          <w:lang w:val="en-GB"/>
        </w:rPr>
        <w:t xml:space="preserve"> is also without merit.</w:t>
      </w:r>
    </w:p>
    <w:p w14:paraId="58BBF1C6" w14:textId="161E1A7A" w:rsidR="00FD3961" w:rsidRPr="00EC24F7" w:rsidRDefault="00E76DE7" w:rsidP="00FD3961">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color w:val="000000"/>
          <w:lang w:val="en-GB"/>
        </w:rPr>
        <w:t xml:space="preserve">What Transnet and the unlawful occupiers </w:t>
      </w:r>
      <w:r w:rsidR="00B835CC" w:rsidRPr="00EC24F7">
        <w:rPr>
          <w:rFonts w:cs="Arial"/>
          <w:color w:val="000000"/>
          <w:lang w:val="en-GB"/>
        </w:rPr>
        <w:t xml:space="preserve">seek to ignore is the undisputed fact that </w:t>
      </w:r>
      <w:r w:rsidR="002C74F9" w:rsidRPr="00EC24F7">
        <w:rPr>
          <w:rFonts w:cs="Arial"/>
          <w:color w:val="000000"/>
          <w:lang w:val="en-GB"/>
        </w:rPr>
        <w:t xml:space="preserve">persons who take up </w:t>
      </w:r>
      <w:r w:rsidR="00A461C9" w:rsidRPr="00EC24F7">
        <w:rPr>
          <w:rFonts w:cs="Arial"/>
          <w:color w:val="000000"/>
          <w:lang w:val="en-GB"/>
        </w:rPr>
        <w:t xml:space="preserve">the City’s Safe Space accommodation </w:t>
      </w:r>
      <w:r w:rsidR="00394FE6" w:rsidRPr="00EC24F7">
        <w:rPr>
          <w:rFonts w:cs="Arial"/>
          <w:color w:val="000000"/>
          <w:lang w:val="en-GB"/>
        </w:rPr>
        <w:t xml:space="preserve">voluntarily </w:t>
      </w:r>
      <w:r w:rsidR="00A461C9" w:rsidRPr="00EC24F7">
        <w:rPr>
          <w:rFonts w:cs="Arial"/>
          <w:color w:val="000000"/>
          <w:lang w:val="en-GB"/>
        </w:rPr>
        <w:t xml:space="preserve">contract to do so on the basis of a set of rules which </w:t>
      </w:r>
      <w:r w:rsidR="00394FE6" w:rsidRPr="00EC24F7">
        <w:rPr>
          <w:rFonts w:cs="Arial"/>
          <w:color w:val="000000"/>
          <w:lang w:val="en-GB"/>
        </w:rPr>
        <w:t>facilitates</w:t>
      </w:r>
      <w:r w:rsidR="00A461C9" w:rsidRPr="00EC24F7">
        <w:rPr>
          <w:rFonts w:cs="Arial"/>
          <w:color w:val="000000"/>
          <w:lang w:val="en-GB"/>
        </w:rPr>
        <w:t xml:space="preserve"> the proper implementation of a structured programme of reintegration into the community</w:t>
      </w:r>
      <w:r w:rsidR="00F720CF" w:rsidRPr="00EC24F7">
        <w:rPr>
          <w:rFonts w:cs="Arial"/>
          <w:color w:val="000000"/>
          <w:lang w:val="en-GB"/>
        </w:rPr>
        <w:t xml:space="preserve"> which requires participants to actively and meaningfully participate in the programme</w:t>
      </w:r>
      <w:r w:rsidR="00E325A5" w:rsidRPr="00EC24F7">
        <w:rPr>
          <w:rFonts w:cs="Arial"/>
          <w:color w:val="000000"/>
          <w:lang w:val="en-GB"/>
        </w:rPr>
        <w:t xml:space="preserve"> and to abide by a set of rules</w:t>
      </w:r>
      <w:r w:rsidR="00394FE6" w:rsidRPr="00EC24F7">
        <w:rPr>
          <w:rFonts w:cs="Arial"/>
          <w:color w:val="000000"/>
          <w:lang w:val="en-GB"/>
        </w:rPr>
        <w:t>.</w:t>
      </w:r>
      <w:r w:rsidR="00394FE6" w:rsidRPr="00EC24F7">
        <w:rPr>
          <w:rStyle w:val="FootnoteReference"/>
          <w:rFonts w:cs="Arial"/>
          <w:color w:val="000000"/>
          <w:lang w:val="en-GB"/>
        </w:rPr>
        <w:footnoteReference w:id="175"/>
      </w:r>
      <w:r w:rsidR="00E325A5" w:rsidRPr="00EC24F7">
        <w:rPr>
          <w:rFonts w:cs="Arial"/>
          <w:color w:val="000000"/>
          <w:lang w:val="en-GB"/>
        </w:rPr>
        <w:t xml:space="preserve">  </w:t>
      </w:r>
      <w:r w:rsidR="00B24C44" w:rsidRPr="00EC24F7">
        <w:rPr>
          <w:rFonts w:cs="Arial"/>
          <w:color w:val="000000"/>
          <w:lang w:val="en-GB"/>
        </w:rPr>
        <w:t xml:space="preserve">The undisputed evidence </w:t>
      </w:r>
      <w:r w:rsidR="00B24C44" w:rsidRPr="00EC24F7">
        <w:rPr>
          <w:rFonts w:cs="Arial"/>
          <w:color w:val="000000"/>
          <w:lang w:val="en-GB"/>
        </w:rPr>
        <w:lastRenderedPageBreak/>
        <w:t xml:space="preserve">demonstrates that the unlawful occupiers </w:t>
      </w:r>
      <w:r w:rsidR="00AE153F" w:rsidRPr="00EC24F7">
        <w:rPr>
          <w:rFonts w:cs="Arial"/>
          <w:color w:val="000000"/>
          <w:lang w:val="en-GB"/>
        </w:rPr>
        <w:t>are not prepared to engage with the City.  Moreover, if any of the unlawful occupiers wished to go into the City Safe Spaces nothing stops them from doing so as this is an entirely voluntary programme but more importantly</w:t>
      </w:r>
      <w:r w:rsidR="00926E37" w:rsidRPr="00EC24F7">
        <w:rPr>
          <w:rFonts w:cs="Arial"/>
          <w:color w:val="000000"/>
          <w:lang w:val="en-GB"/>
        </w:rPr>
        <w:t>,</w:t>
      </w:r>
      <w:r w:rsidR="00AE153F" w:rsidRPr="00EC24F7">
        <w:rPr>
          <w:rFonts w:cs="Arial"/>
          <w:color w:val="000000"/>
          <w:lang w:val="en-GB"/>
        </w:rPr>
        <w:t xml:space="preserve"> they would have said this in their answering affidavits.  The fact that they have not done so demonstrates unequivocally </w:t>
      </w:r>
      <w:r w:rsidR="00DC6AD3" w:rsidRPr="00EC24F7">
        <w:rPr>
          <w:rFonts w:cs="Arial"/>
          <w:color w:val="000000"/>
          <w:lang w:val="en-GB"/>
        </w:rPr>
        <w:t xml:space="preserve">that the assertions in Mr Al-Habsy’s affidavit </w:t>
      </w:r>
      <w:r w:rsidR="00DC6AD3" w:rsidRPr="00EC24F7">
        <w:rPr>
          <w:rFonts w:cs="Arial"/>
          <w:color w:val="000000"/>
          <w:lang w:val="en-GB"/>
        </w:rPr>
        <w:t>in regard to Safe Spaces</w:t>
      </w:r>
      <w:r w:rsidR="00DC6AD3" w:rsidRPr="00EC24F7">
        <w:rPr>
          <w:rFonts w:cs="Arial"/>
          <w:color w:val="000000"/>
          <w:lang w:val="en-GB"/>
        </w:rPr>
        <w:t xml:space="preserve"> </w:t>
      </w:r>
      <w:r w:rsidR="00DC6AD3" w:rsidRPr="00EC24F7">
        <w:rPr>
          <w:rFonts w:cs="Arial"/>
          <w:lang w:val="en-GB"/>
        </w:rPr>
        <w:t>are irrelevant to the issues that this Court is called upon to determine and have been made in an impermissible attempt at creating</w:t>
      </w:r>
      <w:r w:rsidR="00DC6AD3" w:rsidRPr="00EC24F7">
        <w:rPr>
          <w:rFonts w:cs="Arial"/>
          <w:lang w:val="en-GB"/>
        </w:rPr>
        <w:t xml:space="preserve"> atmosphere to distract from the real issues for determination.</w:t>
      </w:r>
      <w:r w:rsidR="00CB6253" w:rsidRPr="00EC24F7">
        <w:rPr>
          <w:rFonts w:cs="Arial"/>
          <w:lang w:val="en-GB"/>
        </w:rPr>
        <w:t xml:space="preserve">  </w:t>
      </w:r>
    </w:p>
    <w:p w14:paraId="39716F9F" w14:textId="66FDDCAC" w:rsidR="009F7326" w:rsidRPr="00EC24F7" w:rsidRDefault="00DC6AD3" w:rsidP="00FD3961">
      <w:pPr>
        <w:pStyle w:val="ListParagraph"/>
        <w:numPr>
          <w:ilvl w:val="0"/>
          <w:numId w:val="2"/>
        </w:numPr>
        <w:snapToGrid w:val="0"/>
        <w:spacing w:before="120" w:beforeAutospacing="0" w:after="360" w:afterAutospacing="0" w:line="480" w:lineRule="auto"/>
        <w:jc w:val="both"/>
        <w:rPr>
          <w:rFonts w:cs="Arial"/>
          <w:color w:val="000000"/>
          <w:lang w:val="en-GB"/>
        </w:rPr>
      </w:pPr>
      <w:r w:rsidRPr="00EC24F7">
        <w:rPr>
          <w:rFonts w:cs="Arial"/>
          <w:lang w:val="en-GB"/>
        </w:rPr>
        <w:t xml:space="preserve">Clearly the </w:t>
      </w:r>
      <w:r w:rsidR="009F7326" w:rsidRPr="00EC24F7">
        <w:rPr>
          <w:rFonts w:cs="Arial"/>
          <w:lang w:val="en-GB"/>
        </w:rPr>
        <w:t xml:space="preserve">reason for Transnet’s insistence that the City offers Safe Spaces is </w:t>
      </w:r>
      <w:r w:rsidRPr="00EC24F7">
        <w:rPr>
          <w:rFonts w:cs="Arial"/>
          <w:lang w:val="en-GB"/>
        </w:rPr>
        <w:t>because it</w:t>
      </w:r>
      <w:r w:rsidR="009F7326" w:rsidRPr="00EC24F7">
        <w:rPr>
          <w:rFonts w:cs="Arial"/>
          <w:lang w:val="en-GB"/>
        </w:rPr>
        <w:t xml:space="preserve"> seeks </w:t>
      </w:r>
      <w:r w:rsidRPr="00EC24F7">
        <w:rPr>
          <w:rFonts w:cs="Arial"/>
          <w:lang w:val="en-GB"/>
        </w:rPr>
        <w:t xml:space="preserve">impermissibly </w:t>
      </w:r>
      <w:r w:rsidR="009F7326" w:rsidRPr="00EC24F7">
        <w:rPr>
          <w:rFonts w:cs="Arial"/>
          <w:lang w:val="en-GB"/>
        </w:rPr>
        <w:t xml:space="preserve">to foist </w:t>
      </w:r>
      <w:r w:rsidRPr="00EC24F7">
        <w:rPr>
          <w:rFonts w:cs="Arial"/>
          <w:lang w:val="en-GB"/>
        </w:rPr>
        <w:t>all</w:t>
      </w:r>
      <w:r w:rsidR="009F7326" w:rsidRPr="00EC24F7">
        <w:rPr>
          <w:rFonts w:cs="Arial"/>
          <w:lang w:val="en-GB"/>
        </w:rPr>
        <w:t xml:space="preserve"> obligation</w:t>
      </w:r>
      <w:r w:rsidRPr="00EC24F7">
        <w:rPr>
          <w:rFonts w:cs="Arial"/>
          <w:lang w:val="en-GB"/>
        </w:rPr>
        <w:t>s in respect of the housing of the unlawful occupiers</w:t>
      </w:r>
      <w:r w:rsidR="009F7326" w:rsidRPr="00EC24F7">
        <w:rPr>
          <w:rFonts w:cs="Arial"/>
          <w:lang w:val="en-GB"/>
        </w:rPr>
        <w:t xml:space="preserve"> solely on the City</w:t>
      </w:r>
      <w:r w:rsidR="0004296C">
        <w:rPr>
          <w:rFonts w:cs="Arial"/>
          <w:lang w:val="en-GB"/>
        </w:rPr>
        <w:t xml:space="preserve">, </w:t>
      </w:r>
      <w:r w:rsidR="00CB6253" w:rsidRPr="00EC24F7">
        <w:rPr>
          <w:rFonts w:cs="Arial"/>
          <w:lang w:val="en-GB"/>
        </w:rPr>
        <w:t xml:space="preserve">but </w:t>
      </w:r>
      <w:r w:rsidR="009F7326" w:rsidRPr="00EC24F7">
        <w:rPr>
          <w:rFonts w:cs="Arial"/>
          <w:lang w:val="en-GB"/>
        </w:rPr>
        <w:t xml:space="preserve">Transnet puts up no countervailing evidence to demonstrate that </w:t>
      </w:r>
      <w:r w:rsidR="00CB6253" w:rsidRPr="00EC24F7">
        <w:rPr>
          <w:rFonts w:cs="Arial"/>
          <w:lang w:val="en-GB"/>
        </w:rPr>
        <w:t>Safe Spaces are appropriate for the unlawful occupiers.</w:t>
      </w:r>
      <w:r w:rsidR="00FD3961" w:rsidRPr="00EC24F7">
        <w:rPr>
          <w:rFonts w:cs="Arial"/>
          <w:lang w:val="en-GB"/>
        </w:rPr>
        <w:t xml:space="preserve">  </w:t>
      </w:r>
      <w:r w:rsidR="00FD3961" w:rsidRPr="00EC24F7">
        <w:rPr>
          <w:rFonts w:cs="Arial"/>
          <w:lang w:val="en-GB"/>
        </w:rPr>
        <w:t>Transnet</w:t>
      </w:r>
      <w:r w:rsidR="00FD3961" w:rsidRPr="00EC24F7">
        <w:rPr>
          <w:rFonts w:cs="Arial"/>
          <w:lang w:val="en-GB"/>
        </w:rPr>
        <w:t>’s</w:t>
      </w:r>
      <w:r w:rsidR="00FD3961" w:rsidRPr="00EC24F7">
        <w:rPr>
          <w:rFonts w:cs="Arial"/>
          <w:lang w:val="en-GB"/>
        </w:rPr>
        <w:t xml:space="preserve"> </w:t>
      </w:r>
      <w:r w:rsidR="0004296C" w:rsidRPr="00EC24F7">
        <w:rPr>
          <w:rFonts w:cs="Arial"/>
          <w:lang w:val="en-GB"/>
        </w:rPr>
        <w:t>persistence</w:t>
      </w:r>
      <w:r w:rsidR="00FD3961" w:rsidRPr="00EC24F7">
        <w:rPr>
          <w:rFonts w:cs="Arial"/>
          <w:lang w:val="en-GB"/>
        </w:rPr>
        <w:t xml:space="preserve"> in advancing </w:t>
      </w:r>
      <w:r w:rsidR="00FD3961" w:rsidRPr="00EC24F7">
        <w:rPr>
          <w:rStyle w:val="Strong"/>
          <w:rFonts w:cs="Arial"/>
          <w:b w:val="0"/>
          <w:bCs w:val="0"/>
          <w:lang w:val="en-GB"/>
        </w:rPr>
        <w:t>unsubstantiated averments</w:t>
      </w:r>
      <w:r w:rsidR="00FD3961" w:rsidRPr="00EC24F7">
        <w:rPr>
          <w:rFonts w:cs="Arial"/>
          <w:lang w:val="en-GB"/>
        </w:rPr>
        <w:t xml:space="preserve"> regarding the suitability of </w:t>
      </w:r>
      <w:r w:rsidR="00FD3961" w:rsidRPr="00EC24F7">
        <w:rPr>
          <w:rFonts w:cs="Arial"/>
          <w:lang w:val="en-GB"/>
        </w:rPr>
        <w:t xml:space="preserve">the City Safe Spaces for the unlawful occupiers </w:t>
      </w:r>
      <w:r w:rsidR="00FD3961" w:rsidRPr="00EC24F7">
        <w:rPr>
          <w:rFonts w:cs="Arial"/>
          <w:lang w:val="en-GB"/>
        </w:rPr>
        <w:t xml:space="preserve">is </w:t>
      </w:r>
      <w:r w:rsidR="00FD3961" w:rsidRPr="00EC24F7">
        <w:rPr>
          <w:rStyle w:val="Strong"/>
          <w:rFonts w:cs="Arial"/>
          <w:b w:val="0"/>
          <w:bCs w:val="0"/>
          <w:lang w:val="en-GB"/>
        </w:rPr>
        <w:t>misplaced</w:t>
      </w:r>
      <w:r w:rsidR="00FD3961" w:rsidRPr="00EC24F7">
        <w:rPr>
          <w:rFonts w:cs="Arial"/>
          <w:lang w:val="en-GB"/>
        </w:rPr>
        <w:t xml:space="preserve"> and ignores the objective facts before the Court.  </w:t>
      </w:r>
    </w:p>
    <w:p w14:paraId="3AB9160F" w14:textId="754B1909" w:rsidR="00C638FC" w:rsidRPr="00EC24F7" w:rsidRDefault="00C638FC" w:rsidP="00345B4F">
      <w:pPr>
        <w:pStyle w:val="Heading2"/>
        <w:rPr>
          <w:rFonts w:cs="Arial"/>
          <w:szCs w:val="24"/>
          <w:lang w:val="en-GB"/>
        </w:rPr>
      </w:pPr>
      <w:bookmarkStart w:id="18" w:name="_Toc226040130"/>
      <w:r w:rsidRPr="00EC24F7">
        <w:rPr>
          <w:rFonts w:cs="Arial"/>
          <w:szCs w:val="24"/>
          <w:lang w:val="en-GB"/>
        </w:rPr>
        <w:t xml:space="preserve">The Langa </w:t>
      </w:r>
      <w:r w:rsidR="00AF7E35" w:rsidRPr="00EC24F7">
        <w:rPr>
          <w:rFonts w:cs="Arial"/>
          <w:szCs w:val="24"/>
          <w:lang w:val="en-GB"/>
        </w:rPr>
        <w:t>Site</w:t>
      </w:r>
      <w:bookmarkEnd w:id="18"/>
    </w:p>
    <w:p w14:paraId="7D77C9DA" w14:textId="713285D5" w:rsidR="008009FA" w:rsidRPr="00EC24F7" w:rsidRDefault="00706F18" w:rsidP="00706F18">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 xml:space="preserve">Given the </w:t>
      </w:r>
      <w:r w:rsidRPr="00EC24F7">
        <w:rPr>
          <w:rFonts w:cs="Arial"/>
          <w:lang w:val="en-GB"/>
        </w:rPr>
        <w:t xml:space="preserve">context of the 2026 legislative and funding environment the City was able to consider </w:t>
      </w:r>
      <w:r w:rsidRPr="00EC24F7">
        <w:rPr>
          <w:rFonts w:cs="Arial"/>
          <w:lang w:val="en-GB"/>
        </w:rPr>
        <w:t xml:space="preserve">Transnet’s </w:t>
      </w:r>
      <w:r w:rsidRPr="00EC24F7">
        <w:rPr>
          <w:rFonts w:cs="Arial"/>
          <w:lang w:val="en-GB"/>
        </w:rPr>
        <w:t xml:space="preserve">offer of the Langa site for the construction of three-storey ABT units should the </w:t>
      </w:r>
      <w:r w:rsidR="00642245">
        <w:rPr>
          <w:rFonts w:cs="Arial"/>
          <w:lang w:val="en-GB"/>
        </w:rPr>
        <w:t>C</w:t>
      </w:r>
      <w:r w:rsidRPr="00EC24F7">
        <w:rPr>
          <w:rFonts w:cs="Arial"/>
          <w:lang w:val="en-GB"/>
        </w:rPr>
        <w:t>ourt order the provision of emergency housing to the unlawful occupiers</w:t>
      </w:r>
      <w:r w:rsidRPr="00EC24F7">
        <w:rPr>
          <w:rFonts w:cs="Arial"/>
          <w:lang w:val="en-GB"/>
        </w:rPr>
        <w:t xml:space="preserve"> </w:t>
      </w:r>
      <w:r w:rsidRPr="00EC24F7">
        <w:rPr>
          <w:rFonts w:cs="Arial"/>
          <w:lang w:val="en-GB"/>
        </w:rPr>
        <w:t>notwithstanding its size</w:t>
      </w:r>
      <w:r w:rsidRPr="00EC24F7">
        <w:rPr>
          <w:rFonts w:cs="Arial"/>
          <w:lang w:val="en-GB"/>
        </w:rPr>
        <w:t xml:space="preserve">, </w:t>
      </w:r>
      <w:r w:rsidR="008009FA" w:rsidRPr="00EC24F7">
        <w:rPr>
          <w:rFonts w:cs="Arial"/>
          <w:lang w:val="en-GB"/>
        </w:rPr>
        <w:t>and on the assumption that the surrounding community of Langa will agree.</w:t>
      </w:r>
      <w:r w:rsidRPr="00EC24F7">
        <w:rPr>
          <w:rStyle w:val="FootnoteReference"/>
          <w:rFonts w:cs="Arial"/>
          <w:lang w:val="en-GB"/>
        </w:rPr>
        <w:footnoteReference w:id="176"/>
      </w:r>
    </w:p>
    <w:p w14:paraId="6C4AC8C8" w14:textId="4BD6B90B" w:rsidR="00C638FC" w:rsidRPr="00EC24F7" w:rsidRDefault="00ED0DC4" w:rsidP="003F4E87">
      <w:pPr>
        <w:pStyle w:val="ListParagraph"/>
        <w:numPr>
          <w:ilvl w:val="0"/>
          <w:numId w:val="2"/>
        </w:numPr>
        <w:spacing w:before="120" w:beforeAutospacing="0" w:after="360" w:afterAutospacing="0" w:line="480" w:lineRule="auto"/>
        <w:jc w:val="both"/>
        <w:rPr>
          <w:rStyle w:val="Strong"/>
          <w:rFonts w:cs="Arial"/>
          <w:b w:val="0"/>
          <w:bCs w:val="0"/>
          <w:lang w:val="en-GB"/>
        </w:rPr>
      </w:pPr>
      <w:r w:rsidRPr="00EC24F7">
        <w:rPr>
          <w:rFonts w:cs="Arial"/>
          <w:lang w:val="en-GB"/>
        </w:rPr>
        <w:lastRenderedPageBreak/>
        <w:t>T</w:t>
      </w:r>
      <w:r w:rsidR="00C638FC" w:rsidRPr="00EC24F7">
        <w:rPr>
          <w:rFonts w:cs="Arial"/>
          <w:lang w:val="en-GB"/>
        </w:rPr>
        <w:t xml:space="preserve">he use of ABT structures will enable the City to secure the approval of the surrounding community, many of whom have backyard occupants who seek their own housing in the area and </w:t>
      </w:r>
      <w:r w:rsidR="00F60933">
        <w:rPr>
          <w:rFonts w:cs="Arial"/>
          <w:lang w:val="en-GB"/>
        </w:rPr>
        <w:t xml:space="preserve">to </w:t>
      </w:r>
      <w:r w:rsidR="00C638FC" w:rsidRPr="00EC24F7">
        <w:rPr>
          <w:rFonts w:cs="Arial"/>
          <w:lang w:val="en-GB"/>
        </w:rPr>
        <w:t>fully utilise the space available at the Langa site.</w:t>
      </w:r>
      <w:r w:rsidR="00D65B71" w:rsidRPr="00EC24F7">
        <w:rPr>
          <w:rStyle w:val="FootnoteReference"/>
          <w:rFonts w:cs="Arial"/>
          <w:lang w:val="en-GB"/>
        </w:rPr>
        <w:footnoteReference w:id="177"/>
      </w:r>
      <w:r w:rsidR="00C638FC" w:rsidRPr="00EC24F7">
        <w:rPr>
          <w:rFonts w:cs="Arial"/>
          <w:lang w:val="en-GB"/>
        </w:rPr>
        <w:t xml:space="preserve">   ABT structures are easier to construct and are more aesthetically pleasing than traditional TRA structures as well as providing superior insulation from the elements while </w:t>
      </w:r>
      <w:r w:rsidR="00C638FC" w:rsidRPr="00EC24F7">
        <w:rPr>
          <w:rFonts w:cs="Arial"/>
          <w:color w:val="000000"/>
        </w:rPr>
        <w:t>allowing the City to maximise space because they can be built up to three storeys high given the</w:t>
      </w:r>
      <w:r w:rsidR="00F60933">
        <w:rPr>
          <w:rFonts w:cs="Arial"/>
          <w:color w:val="000000"/>
        </w:rPr>
        <w:t>ir</w:t>
      </w:r>
      <w:r w:rsidR="00C638FC" w:rsidRPr="00EC24F7">
        <w:rPr>
          <w:rFonts w:cs="Arial"/>
          <w:color w:val="000000"/>
        </w:rPr>
        <w:t xml:space="preserve"> modular nature.</w:t>
      </w:r>
      <w:r w:rsidR="00C201AF" w:rsidRPr="00EC24F7">
        <w:rPr>
          <w:rStyle w:val="FootnoteReference"/>
          <w:rFonts w:cs="Arial"/>
          <w:lang w:val="en-GB"/>
        </w:rPr>
        <w:t xml:space="preserve"> </w:t>
      </w:r>
      <w:r w:rsidR="00C201AF" w:rsidRPr="00EC24F7">
        <w:rPr>
          <w:rStyle w:val="FootnoteReference"/>
          <w:rFonts w:cs="Arial"/>
          <w:lang w:val="en-GB"/>
        </w:rPr>
        <w:footnoteReference w:id="178"/>
      </w:r>
      <w:r w:rsidR="00C638FC" w:rsidRPr="00EC24F7">
        <w:rPr>
          <w:rFonts w:cs="Arial"/>
          <w:lang w:val="en-GB"/>
        </w:rPr>
        <w:t xml:space="preserve">  This will enable the City to provide some level of receiving</w:t>
      </w:r>
      <w:r w:rsidR="00C638FC" w:rsidRPr="00EC24F7">
        <w:rPr>
          <w:rFonts w:cs="Arial"/>
          <w:lang w:val="en-GB"/>
        </w:rPr>
        <w:noBreakHyphen/>
        <w:t>community benefit and to accommodate the unlawful occupiers for whom emergency housing may be ordered.</w:t>
      </w:r>
      <w:r w:rsidR="000E7C57" w:rsidRPr="00EC24F7">
        <w:rPr>
          <w:rStyle w:val="FootnoteReference"/>
          <w:rFonts w:cs="Arial"/>
          <w:lang w:val="en-GB"/>
        </w:rPr>
        <w:footnoteReference w:id="179"/>
      </w:r>
      <w:r w:rsidR="003F4E87" w:rsidRPr="00EC24F7">
        <w:rPr>
          <w:rFonts w:cs="Arial"/>
          <w:lang w:val="en-GB"/>
        </w:rPr>
        <w:t xml:space="preserve">  </w:t>
      </w:r>
      <w:r w:rsidR="00A028C4" w:rsidRPr="00EC24F7">
        <w:rPr>
          <w:rFonts w:cs="Arial"/>
          <w:lang w:val="en-GB"/>
        </w:rPr>
        <w:t>C</w:t>
      </w:r>
      <w:r w:rsidR="00A028C4" w:rsidRPr="00EC24F7">
        <w:rPr>
          <w:rFonts w:cs="Arial"/>
          <w:lang w:val="en-GB"/>
        </w:rPr>
        <w:t>ommunity beneficiation is the only viable means through which the City can reasonably anticipate securing local community acceptance for the relocation of persons who fall outside the existing Langa community.</w:t>
      </w:r>
      <w:r w:rsidR="007345CE" w:rsidRPr="00EC24F7">
        <w:rPr>
          <w:rStyle w:val="FootnoteReference"/>
          <w:rFonts w:cs="Arial"/>
          <w:lang w:val="en-GB"/>
        </w:rPr>
        <w:footnoteReference w:id="180"/>
      </w:r>
      <w:r w:rsidR="00C638FC" w:rsidRPr="00EC24F7">
        <w:rPr>
          <w:rStyle w:val="t286pc"/>
          <w:rFonts w:cs="Arial"/>
          <w:lang w:val="en-GB"/>
        </w:rPr>
        <w:t xml:space="preserve">  </w:t>
      </w:r>
      <w:r w:rsidR="007345CE" w:rsidRPr="00EC24F7">
        <w:rPr>
          <w:rFonts w:cs="Arial"/>
          <w:lang w:val="en-GB"/>
        </w:rPr>
        <w:t>S</w:t>
      </w:r>
      <w:r w:rsidR="00C638FC" w:rsidRPr="00EC24F7">
        <w:rPr>
          <w:rStyle w:val="t286pc"/>
          <w:rFonts w:cs="Arial"/>
          <w:lang w:val="en-GB"/>
        </w:rPr>
        <w:t xml:space="preserve">ecuring broad-based </w:t>
      </w:r>
      <w:r w:rsidR="00C638FC" w:rsidRPr="00EC24F7">
        <w:rPr>
          <w:rStyle w:val="Strong"/>
          <w:rFonts w:cs="Arial"/>
          <w:b w:val="0"/>
          <w:bCs w:val="0"/>
          <w:lang w:val="en-GB"/>
        </w:rPr>
        <w:t>community buy-in</w:t>
      </w:r>
      <w:r w:rsidR="00C638FC" w:rsidRPr="00EC24F7">
        <w:rPr>
          <w:rStyle w:val="t286pc"/>
          <w:rFonts w:cs="Arial"/>
          <w:lang w:val="en-GB"/>
        </w:rPr>
        <w:t xml:space="preserve"> is critical to ensuring the </w:t>
      </w:r>
      <w:r w:rsidR="00C638FC" w:rsidRPr="00EC24F7">
        <w:rPr>
          <w:rStyle w:val="Strong"/>
          <w:rFonts w:cs="Arial"/>
          <w:b w:val="0"/>
          <w:bCs w:val="0"/>
          <w:lang w:val="en-GB"/>
        </w:rPr>
        <w:t>long-term viability</w:t>
      </w:r>
      <w:r w:rsidR="00C638FC" w:rsidRPr="00EC24F7">
        <w:rPr>
          <w:rStyle w:val="t286pc"/>
          <w:rFonts w:cs="Arial"/>
          <w:b/>
          <w:bCs/>
          <w:lang w:val="en-GB"/>
        </w:rPr>
        <w:t xml:space="preserve"> </w:t>
      </w:r>
      <w:r w:rsidR="00C638FC" w:rsidRPr="00EC24F7">
        <w:rPr>
          <w:rStyle w:val="t286pc"/>
          <w:rFonts w:cs="Arial"/>
          <w:lang w:val="en-GB"/>
        </w:rPr>
        <w:t>of emergency housing initiatives</w:t>
      </w:r>
      <w:r w:rsidR="00C8358F" w:rsidRPr="00EC24F7">
        <w:rPr>
          <w:rStyle w:val="t286pc"/>
          <w:rFonts w:cs="Arial"/>
          <w:lang w:val="en-GB"/>
        </w:rPr>
        <w:t>,</w:t>
      </w:r>
      <w:r w:rsidR="00C638FC" w:rsidRPr="00EC24F7">
        <w:rPr>
          <w:rStyle w:val="t286pc"/>
          <w:rFonts w:cs="Arial"/>
          <w:lang w:val="en-GB"/>
        </w:rPr>
        <w:t xml:space="preserve"> </w:t>
      </w:r>
      <w:r w:rsidR="00C8358F" w:rsidRPr="00EC24F7">
        <w:rPr>
          <w:rStyle w:val="t286pc"/>
          <w:rFonts w:cs="Arial"/>
          <w:lang w:val="en-GB"/>
        </w:rPr>
        <w:t>as w</w:t>
      </w:r>
      <w:r w:rsidR="00C638FC" w:rsidRPr="00EC24F7">
        <w:rPr>
          <w:rStyle w:val="t286pc"/>
          <w:rFonts w:cs="Arial"/>
          <w:lang w:val="en-GB"/>
        </w:rPr>
        <w:t xml:space="preserve">ithout such acceptance, the City faces a high risk of </w:t>
      </w:r>
      <w:r w:rsidR="00C638FC" w:rsidRPr="00EC24F7">
        <w:rPr>
          <w:rStyle w:val="Strong"/>
          <w:rFonts w:cs="Arial"/>
          <w:b w:val="0"/>
          <w:bCs w:val="0"/>
          <w:lang w:val="en-GB"/>
        </w:rPr>
        <w:t>project failure</w:t>
      </w:r>
      <w:r w:rsidR="00C638FC" w:rsidRPr="00EC24F7">
        <w:rPr>
          <w:rStyle w:val="t286pc"/>
          <w:rFonts w:cs="Arial"/>
          <w:lang w:val="en-GB"/>
        </w:rPr>
        <w:t xml:space="preserve"> due to either </w:t>
      </w:r>
      <w:r w:rsidR="00C638FC" w:rsidRPr="00EC24F7">
        <w:rPr>
          <w:rStyle w:val="Strong"/>
          <w:rFonts w:cs="Arial"/>
          <w:b w:val="0"/>
          <w:bCs w:val="0"/>
          <w:lang w:val="en-GB"/>
        </w:rPr>
        <w:t>forensic delays</w:t>
      </w:r>
      <w:r w:rsidR="00C638FC" w:rsidRPr="00EC24F7">
        <w:rPr>
          <w:rStyle w:val="t286pc"/>
          <w:rFonts w:cs="Arial"/>
          <w:lang w:val="en-GB"/>
        </w:rPr>
        <w:t xml:space="preserve"> in the form of litigation or </w:t>
      </w:r>
      <w:r w:rsidR="00C638FC" w:rsidRPr="00EC24F7">
        <w:rPr>
          <w:rStyle w:val="Strong"/>
          <w:rFonts w:cs="Arial"/>
          <w:b w:val="0"/>
          <w:bCs w:val="0"/>
          <w:lang w:val="en-GB"/>
        </w:rPr>
        <w:t>operational disruptions.</w:t>
      </w:r>
      <w:r w:rsidR="003F4E87" w:rsidRPr="00EC24F7">
        <w:rPr>
          <w:rStyle w:val="FootnoteReference"/>
          <w:rFonts w:cs="Arial"/>
          <w:lang w:val="en-GB"/>
        </w:rPr>
        <w:footnoteReference w:id="181"/>
      </w:r>
    </w:p>
    <w:p w14:paraId="27BEB1CB" w14:textId="7CD7FD60" w:rsidR="00060C27" w:rsidRPr="00EC24F7" w:rsidRDefault="00060C27" w:rsidP="00D410B8">
      <w:pPr>
        <w:numPr>
          <w:ilvl w:val="0"/>
          <w:numId w:val="2"/>
        </w:numPr>
        <w:snapToGrid w:val="0"/>
        <w:spacing w:before="120" w:after="360" w:line="480" w:lineRule="auto"/>
        <w:jc w:val="both"/>
        <w:rPr>
          <w:rFonts w:cs="Arial"/>
          <w:lang w:val="en-GB"/>
        </w:rPr>
      </w:pPr>
      <w:r w:rsidRPr="00EC24F7">
        <w:rPr>
          <w:rFonts w:cs="Arial"/>
          <w:lang w:val="en-GB"/>
        </w:rPr>
        <w:t xml:space="preserve">Transnet’s contention that the City has impermissibly disclosed without prejudice discussions </w:t>
      </w:r>
      <w:r w:rsidR="00A24172">
        <w:rPr>
          <w:rFonts w:cs="Arial"/>
          <w:lang w:val="en-GB"/>
        </w:rPr>
        <w:t xml:space="preserve">in respect of the Langa site </w:t>
      </w:r>
      <w:r w:rsidRPr="00EC24F7">
        <w:rPr>
          <w:rFonts w:cs="Arial"/>
          <w:lang w:val="en-GB"/>
        </w:rPr>
        <w:t xml:space="preserve">does not withstand scrutiny. </w:t>
      </w:r>
      <w:r w:rsidR="00A24172">
        <w:rPr>
          <w:rFonts w:cs="Arial"/>
          <w:lang w:val="en-GB"/>
        </w:rPr>
        <w:t xml:space="preserve"> </w:t>
      </w:r>
      <w:r w:rsidR="00F66101">
        <w:rPr>
          <w:rFonts w:cs="Arial"/>
          <w:lang w:val="en-GB"/>
        </w:rPr>
        <w:t>I</w:t>
      </w:r>
      <w:r w:rsidR="00F66101" w:rsidRPr="00EC24F7">
        <w:rPr>
          <w:rFonts w:cs="Arial"/>
          <w:lang w:val="en-GB"/>
        </w:rPr>
        <w:t xml:space="preserve">t is only </w:t>
      </w:r>
      <w:r w:rsidR="00F66101" w:rsidRPr="00EC24F7">
        <w:rPr>
          <w:rFonts w:cs="Arial"/>
        </w:rPr>
        <w:t xml:space="preserve">negotiations between parties which are undertaken with a view to a settlement of their </w:t>
      </w:r>
      <w:r w:rsidR="00F66101" w:rsidRPr="00EC24F7">
        <w:rPr>
          <w:rFonts w:cs="Arial"/>
          <w:u w:val="single"/>
        </w:rPr>
        <w:t>disputes</w:t>
      </w:r>
      <w:r w:rsidR="00F66101" w:rsidRPr="00EC24F7">
        <w:rPr>
          <w:rFonts w:cs="Arial"/>
        </w:rPr>
        <w:t xml:space="preserve"> that are privileged from disclosure.</w:t>
      </w:r>
      <w:r w:rsidR="00F66101" w:rsidRPr="00EC24F7">
        <w:rPr>
          <w:rStyle w:val="FootnoteReference"/>
          <w:rFonts w:cs="Arial"/>
        </w:rPr>
        <w:footnoteReference w:id="182"/>
      </w:r>
      <w:r w:rsidR="00F66101">
        <w:rPr>
          <w:rFonts w:cs="Arial"/>
        </w:rPr>
        <w:t xml:space="preserve">  </w:t>
      </w:r>
      <w:r w:rsidR="00A24172">
        <w:rPr>
          <w:rFonts w:cs="Arial"/>
          <w:lang w:val="en-GB"/>
        </w:rPr>
        <w:t>N</w:t>
      </w:r>
      <w:r w:rsidRPr="00EC24F7">
        <w:rPr>
          <w:rFonts w:cs="Arial"/>
          <w:lang w:val="en-GB"/>
        </w:rPr>
        <w:t>egotiations between the City and Transnet, which occurred prior to the institution of litigation</w:t>
      </w:r>
      <w:r w:rsidR="00A24172">
        <w:rPr>
          <w:rFonts w:cs="Arial"/>
          <w:lang w:val="en-GB"/>
        </w:rPr>
        <w:t>,</w:t>
      </w:r>
      <w:r w:rsidRPr="00EC24F7">
        <w:rPr>
          <w:rFonts w:cs="Arial"/>
          <w:lang w:val="en-GB"/>
        </w:rPr>
        <w:t xml:space="preserve"> could never have been conducted on a without prejudice basi</w:t>
      </w:r>
      <w:r w:rsidR="00AE3B7B">
        <w:rPr>
          <w:rFonts w:cs="Arial"/>
          <w:lang w:val="en-GB"/>
        </w:rPr>
        <w:t>s.</w:t>
      </w:r>
      <w:r w:rsidR="00025F76" w:rsidRPr="00EC24F7">
        <w:rPr>
          <w:rFonts w:cs="Arial"/>
          <w:lang w:val="en-GB"/>
        </w:rPr>
        <w:t xml:space="preserve">  </w:t>
      </w:r>
      <w:r w:rsidR="00AE3B7B">
        <w:rPr>
          <w:rFonts w:cs="Arial"/>
          <w:lang w:val="en-GB"/>
        </w:rPr>
        <w:t>In addition, p</w:t>
      </w:r>
      <w:r w:rsidR="00025F76" w:rsidRPr="00EC24F7">
        <w:rPr>
          <w:rFonts w:cs="Arial"/>
          <w:lang w:val="en-GB"/>
        </w:rPr>
        <w:t>rior to</w:t>
      </w:r>
      <w:r w:rsidRPr="00EC24F7">
        <w:rPr>
          <w:rFonts w:cs="Arial"/>
          <w:lang w:val="en-GB"/>
        </w:rPr>
        <w:t xml:space="preserve"> the delivery of the replying affidavit, </w:t>
      </w:r>
      <w:r w:rsidR="00025F76" w:rsidRPr="00EC24F7">
        <w:rPr>
          <w:rFonts w:cs="Arial"/>
          <w:lang w:val="en-GB"/>
        </w:rPr>
        <w:t xml:space="preserve">there was </w:t>
      </w:r>
      <w:r w:rsidRPr="00EC24F7">
        <w:rPr>
          <w:rFonts w:cs="Arial"/>
          <w:lang w:val="en-GB"/>
        </w:rPr>
        <w:t xml:space="preserve">a collegial and collaborative </w:t>
      </w:r>
      <w:r w:rsidRPr="00EC24F7">
        <w:rPr>
          <w:rFonts w:cs="Arial"/>
          <w:lang w:val="en-GB"/>
        </w:rPr>
        <w:lastRenderedPageBreak/>
        <w:t>relationship between the City and Transnet and thus there was no dispute between the City and Transnet that could sensibly have been the subject of discussions for the purposes of settlement</w:t>
      </w:r>
      <w:r w:rsidR="00025F76" w:rsidRPr="00EC24F7">
        <w:rPr>
          <w:rFonts w:cs="Arial"/>
          <w:lang w:val="en-GB"/>
        </w:rPr>
        <w:t xml:space="preserve"> and</w:t>
      </w:r>
      <w:r w:rsidRPr="00EC24F7">
        <w:rPr>
          <w:rFonts w:cs="Arial"/>
          <w:lang w:val="en-GB"/>
        </w:rPr>
        <w:t xml:space="preserve"> </w:t>
      </w:r>
      <w:r w:rsidR="001E75E6" w:rsidRPr="00EC24F7">
        <w:rPr>
          <w:rFonts w:cs="Arial"/>
          <w:lang w:val="en-GB"/>
        </w:rPr>
        <w:t>a</w:t>
      </w:r>
      <w:r w:rsidRPr="00EC24F7">
        <w:rPr>
          <w:rFonts w:cs="Arial"/>
          <w:lang w:val="en-GB"/>
        </w:rPr>
        <w:t>s far as the City is aware based on its discussions with Transnet this remains the case.</w:t>
      </w:r>
      <w:r w:rsidRPr="00EC24F7">
        <w:rPr>
          <w:rStyle w:val="FootnoteReference"/>
          <w:rFonts w:cs="Arial"/>
          <w:lang w:val="en-GB"/>
        </w:rPr>
        <w:footnoteReference w:id="183"/>
      </w:r>
      <w:r w:rsidR="00D410B8" w:rsidRPr="00EC24F7">
        <w:rPr>
          <w:rFonts w:cs="Arial"/>
          <w:lang w:val="en-GB"/>
        </w:rPr>
        <w:t xml:space="preserve">  </w:t>
      </w:r>
      <w:r w:rsidR="00792E66" w:rsidRPr="00EC24F7">
        <w:rPr>
          <w:rFonts w:cs="Arial"/>
          <w:lang w:val="en-GB"/>
        </w:rPr>
        <w:t xml:space="preserve">In addition, </w:t>
      </w:r>
      <w:r w:rsidRPr="00EC24F7">
        <w:rPr>
          <w:rFonts w:cs="Arial"/>
          <w:lang w:val="en-GB"/>
        </w:rPr>
        <w:t xml:space="preserve">before the City filed its further affidavit it advised Transnet that </w:t>
      </w:r>
      <w:r w:rsidRPr="00EC24F7">
        <w:rPr>
          <w:rFonts w:cs="Arial"/>
          <w:color w:val="000000" w:themeColor="text1"/>
          <w:lang w:val="en-GB"/>
        </w:rPr>
        <w:t>in the event that the Court directs the City to provide emergency housing to the unlawful occupiers notwithstanding the City’s arguments to the contrary, the City intended to pursue Transnet’s offer of the Langa site for this purpose</w:t>
      </w:r>
      <w:r w:rsidR="00792E66" w:rsidRPr="00EC24F7">
        <w:rPr>
          <w:rFonts w:cs="Arial"/>
          <w:color w:val="000000" w:themeColor="text1"/>
          <w:lang w:val="en-GB"/>
        </w:rPr>
        <w:t xml:space="preserve">, consequently </w:t>
      </w:r>
      <w:r w:rsidRPr="00EC24F7">
        <w:rPr>
          <w:rFonts w:cs="Arial"/>
          <w:color w:val="000000" w:themeColor="text1"/>
          <w:lang w:val="en-GB"/>
        </w:rPr>
        <w:t xml:space="preserve">Transnet was aware of the City’s intended position before the </w:t>
      </w:r>
      <w:r w:rsidR="00792E66" w:rsidRPr="00EC24F7">
        <w:rPr>
          <w:rFonts w:cs="Arial"/>
          <w:lang w:val="en-GB"/>
        </w:rPr>
        <w:t>City’s</w:t>
      </w:r>
      <w:r w:rsidRPr="00EC24F7">
        <w:rPr>
          <w:rFonts w:cs="Arial"/>
          <w:lang w:val="en-GB"/>
        </w:rPr>
        <w:t xml:space="preserve"> </w:t>
      </w:r>
      <w:r w:rsidR="00697638">
        <w:rPr>
          <w:rFonts w:cs="Arial"/>
          <w:lang w:val="en-GB"/>
        </w:rPr>
        <w:t xml:space="preserve">answering </w:t>
      </w:r>
      <w:r w:rsidRPr="00EC24F7">
        <w:rPr>
          <w:rFonts w:cs="Arial"/>
          <w:lang w:val="en-GB"/>
        </w:rPr>
        <w:t>affidavit was delivered.</w:t>
      </w:r>
      <w:r w:rsidRPr="00EC24F7">
        <w:rPr>
          <w:rStyle w:val="FootnoteReference"/>
          <w:rFonts w:cs="Arial"/>
          <w:lang w:val="en-GB"/>
        </w:rPr>
        <w:footnoteReference w:id="184"/>
      </w:r>
      <w:r w:rsidRPr="00EC24F7">
        <w:rPr>
          <w:rFonts w:cs="Arial"/>
          <w:lang w:val="en-GB"/>
        </w:rPr>
        <w:t xml:space="preserve"> </w:t>
      </w:r>
    </w:p>
    <w:p w14:paraId="59B7730A" w14:textId="5E8D9520" w:rsidR="00060C27" w:rsidRPr="00EC24F7" w:rsidRDefault="00060C27" w:rsidP="00060C27">
      <w:pPr>
        <w:numPr>
          <w:ilvl w:val="0"/>
          <w:numId w:val="2"/>
        </w:numPr>
        <w:snapToGrid w:val="0"/>
        <w:spacing w:before="120" w:after="360" w:line="480" w:lineRule="auto"/>
        <w:jc w:val="both"/>
        <w:rPr>
          <w:rFonts w:cs="Arial"/>
          <w:lang w:val="en-GB"/>
        </w:rPr>
      </w:pPr>
      <w:r w:rsidRPr="00EC24F7">
        <w:rPr>
          <w:rFonts w:cs="Arial"/>
          <w:lang w:val="en-GB"/>
        </w:rPr>
        <w:t xml:space="preserve">While the City and Transnet sought to keep certain aspects of their discussions confidential, this was because the details of the ongoing discussions and agreements were not fully finalised and both parties agreed that the details of the location of the site needed to be kept confidential for as long as possible to avoid the risk of unlawful occupation by other persons once it became known that the site was being considered.  However, when the City filed its </w:t>
      </w:r>
      <w:r w:rsidR="00FD231D">
        <w:rPr>
          <w:rFonts w:cs="Arial"/>
          <w:lang w:val="en-GB"/>
        </w:rPr>
        <w:t>answering</w:t>
      </w:r>
      <w:r w:rsidRPr="00EC24F7">
        <w:rPr>
          <w:rFonts w:cs="Arial"/>
          <w:lang w:val="en-GB"/>
        </w:rPr>
        <w:t xml:space="preserve"> affidavit, it was required to disclose the location of the Langa site for purposes of allowing the unlawful occupiers to respond and by that stage there was broad agreement between the City and Transnet as to the acquisition of the Langa site for </w:t>
      </w:r>
      <w:r w:rsidR="00FD231D">
        <w:rPr>
          <w:rFonts w:cs="Arial"/>
          <w:lang w:val="en-GB"/>
        </w:rPr>
        <w:t>emergency housing for the unlawful occupiers</w:t>
      </w:r>
      <w:r w:rsidRPr="00EC24F7">
        <w:rPr>
          <w:rFonts w:cs="Arial"/>
          <w:lang w:val="en-GB"/>
        </w:rPr>
        <w:t>.</w:t>
      </w:r>
      <w:r w:rsidRPr="00EC24F7">
        <w:rPr>
          <w:rStyle w:val="FootnoteReference"/>
          <w:rFonts w:cs="Arial"/>
          <w:lang w:val="en-GB"/>
        </w:rPr>
        <w:footnoteReference w:id="185"/>
      </w:r>
      <w:r w:rsidRPr="00EC24F7">
        <w:rPr>
          <w:rFonts w:cs="Arial"/>
          <w:lang w:val="en-GB"/>
        </w:rPr>
        <w:t xml:space="preserve">  </w:t>
      </w:r>
    </w:p>
    <w:p w14:paraId="233AA316" w14:textId="5B902580" w:rsidR="00060C27" w:rsidRPr="00EC24F7" w:rsidRDefault="00AE1DFF" w:rsidP="00AE1DFF">
      <w:pPr>
        <w:numPr>
          <w:ilvl w:val="0"/>
          <w:numId w:val="2"/>
        </w:numPr>
        <w:snapToGrid w:val="0"/>
        <w:spacing w:before="120" w:after="360" w:line="480" w:lineRule="auto"/>
        <w:jc w:val="both"/>
        <w:rPr>
          <w:rStyle w:val="Strong"/>
          <w:rFonts w:cs="Arial"/>
          <w:b w:val="0"/>
          <w:bCs w:val="0"/>
          <w:u w:val="single"/>
          <w:lang w:val="en-GB"/>
        </w:rPr>
      </w:pPr>
      <w:r w:rsidRPr="00EC24F7">
        <w:rPr>
          <w:rFonts w:cs="Arial"/>
          <w:lang w:val="en-GB"/>
        </w:rPr>
        <w:t>There is thus no merit in Transnet’s contentions</w:t>
      </w:r>
      <w:r w:rsidR="00B11C80">
        <w:rPr>
          <w:rFonts w:cs="Arial"/>
          <w:lang w:val="en-GB"/>
        </w:rPr>
        <w:t xml:space="preserve"> in regard to the disclosure of the negotiations</w:t>
      </w:r>
      <w:r w:rsidRPr="00EC24F7">
        <w:rPr>
          <w:rFonts w:cs="Arial"/>
          <w:lang w:val="en-GB"/>
        </w:rPr>
        <w:t xml:space="preserve"> and </w:t>
      </w:r>
      <w:r w:rsidR="00B11C80">
        <w:rPr>
          <w:rFonts w:cs="Arial"/>
          <w:lang w:val="en-GB"/>
        </w:rPr>
        <w:t>Transnet</w:t>
      </w:r>
      <w:r w:rsidRPr="00EC24F7">
        <w:rPr>
          <w:rFonts w:cs="Arial"/>
          <w:lang w:val="en-GB"/>
        </w:rPr>
        <w:t xml:space="preserve"> </w:t>
      </w:r>
      <w:r w:rsidR="00060C27" w:rsidRPr="00EC24F7">
        <w:rPr>
          <w:rFonts w:cs="Arial"/>
          <w:lang w:val="en-GB"/>
        </w:rPr>
        <w:t xml:space="preserve">concedes in the replying affidavit that it </w:t>
      </w:r>
      <w:r w:rsidR="00060C27" w:rsidRPr="00EC24F7">
        <w:rPr>
          <w:rFonts w:cs="Arial"/>
          <w:i/>
          <w:iCs/>
          <w:lang w:val="en-GB"/>
        </w:rPr>
        <w:t xml:space="preserve">‘remains willing to dispose of the Langa property to the City for the </w:t>
      </w:r>
      <w:r w:rsidR="00060C27" w:rsidRPr="00EC24F7">
        <w:rPr>
          <w:rFonts w:eastAsiaTheme="minorHAnsi" w:cs="Arial"/>
          <w:i/>
          <w:iCs/>
          <w:color w:val="242424"/>
          <w:lang w:val="en-GB" w:eastAsia="en-US"/>
        </w:rPr>
        <w:t xml:space="preserve">purposes of providing </w:t>
      </w:r>
      <w:r w:rsidR="00060C27" w:rsidRPr="00EC24F7">
        <w:rPr>
          <w:rFonts w:eastAsiaTheme="minorHAnsi" w:cs="Arial"/>
          <w:i/>
          <w:iCs/>
          <w:color w:val="242424"/>
          <w:lang w:val="en-GB" w:eastAsia="en-US"/>
        </w:rPr>
        <w:lastRenderedPageBreak/>
        <w:t>emergency</w:t>
      </w:r>
      <w:r w:rsidR="00060C27" w:rsidRPr="00EC24F7">
        <w:rPr>
          <w:rFonts w:cs="Arial"/>
          <w:i/>
          <w:iCs/>
          <w:lang w:val="en-GB"/>
        </w:rPr>
        <w:t xml:space="preserve"> </w:t>
      </w:r>
      <w:r w:rsidR="00060C27" w:rsidRPr="00EC24F7">
        <w:rPr>
          <w:rFonts w:eastAsiaTheme="minorHAnsi" w:cs="Arial"/>
          <w:i/>
          <w:iCs/>
          <w:color w:val="242424"/>
          <w:lang w:val="en-GB" w:eastAsia="en-US"/>
        </w:rPr>
        <w:t>accommodation to those persons who may need housing once evicted from the</w:t>
      </w:r>
      <w:r w:rsidR="00060C27" w:rsidRPr="00EC24F7">
        <w:rPr>
          <w:rFonts w:cs="Arial"/>
          <w:i/>
          <w:iCs/>
          <w:lang w:val="en-GB"/>
        </w:rPr>
        <w:t xml:space="preserve"> </w:t>
      </w:r>
      <w:r w:rsidR="00060C27" w:rsidRPr="00EC24F7">
        <w:rPr>
          <w:rFonts w:eastAsiaTheme="minorHAnsi" w:cs="Arial"/>
          <w:i/>
          <w:iCs/>
          <w:color w:val="242424"/>
          <w:lang w:val="en-GB" w:eastAsia="en-US"/>
        </w:rPr>
        <w:t>Transnet properties’.</w:t>
      </w:r>
      <w:r w:rsidR="00060C27" w:rsidRPr="00EC24F7">
        <w:rPr>
          <w:rStyle w:val="FootnoteReference"/>
          <w:rFonts w:eastAsiaTheme="minorHAnsi" w:cs="Arial"/>
          <w:color w:val="242424"/>
          <w:lang w:val="en-GB" w:eastAsia="en-US"/>
        </w:rPr>
        <w:footnoteReference w:id="186"/>
      </w:r>
      <w:r w:rsidR="00060C27" w:rsidRPr="00EC24F7">
        <w:rPr>
          <w:rFonts w:eastAsiaTheme="minorHAnsi" w:cs="Arial"/>
          <w:i/>
          <w:iCs/>
          <w:color w:val="242424"/>
          <w:lang w:val="en-GB" w:eastAsia="en-US"/>
        </w:rPr>
        <w:t xml:space="preserve">  </w:t>
      </w:r>
      <w:r w:rsidR="00060C27" w:rsidRPr="00EC24F7">
        <w:rPr>
          <w:rFonts w:cs="Arial"/>
          <w:lang w:val="en-GB"/>
        </w:rPr>
        <w:t>It is therefore unclear what purpose is served by the contentions advanced in the replying affidavit concerning the disclosure of supposedly without prejudice negotiations.</w:t>
      </w:r>
    </w:p>
    <w:p w14:paraId="4ABE67FC" w14:textId="77777777" w:rsidR="0072045D" w:rsidRPr="00EC24F7" w:rsidRDefault="00C638FC" w:rsidP="00C638FC">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 xml:space="preserve">The </w:t>
      </w:r>
      <w:r w:rsidR="000C354C" w:rsidRPr="00EC24F7">
        <w:rPr>
          <w:rFonts w:cs="Arial"/>
          <w:lang w:val="en-GB"/>
        </w:rPr>
        <w:t xml:space="preserve">unlawful </w:t>
      </w:r>
      <w:r w:rsidRPr="00EC24F7">
        <w:rPr>
          <w:rFonts w:cs="Arial"/>
          <w:lang w:val="en-GB"/>
        </w:rPr>
        <w:t xml:space="preserve">occupiers </w:t>
      </w:r>
      <w:r w:rsidR="000C354C" w:rsidRPr="00EC24F7">
        <w:rPr>
          <w:rFonts w:cs="Arial"/>
          <w:lang w:val="en-GB"/>
        </w:rPr>
        <w:t xml:space="preserve">ostensibly </w:t>
      </w:r>
      <w:r w:rsidRPr="00EC24F7">
        <w:rPr>
          <w:rFonts w:cs="Arial"/>
          <w:lang w:val="en-GB"/>
        </w:rPr>
        <w:t xml:space="preserve">object to the Langa site </w:t>
      </w:r>
      <w:r w:rsidR="0091575C" w:rsidRPr="00EC24F7">
        <w:rPr>
          <w:rFonts w:cs="Arial"/>
          <w:lang w:val="en-GB"/>
        </w:rPr>
        <w:t>because of its distance from the properties</w:t>
      </w:r>
      <w:r w:rsidR="00D44DA5" w:rsidRPr="00EC24F7">
        <w:rPr>
          <w:rFonts w:cs="Arial"/>
          <w:lang w:val="en-GB"/>
        </w:rPr>
        <w:t>.</w:t>
      </w:r>
      <w:r w:rsidR="00D44DA5" w:rsidRPr="00EC24F7">
        <w:rPr>
          <w:rStyle w:val="FootnoteReference"/>
          <w:rFonts w:cs="Arial"/>
          <w:lang w:val="en-GB"/>
        </w:rPr>
        <w:footnoteReference w:id="187"/>
      </w:r>
      <w:r w:rsidR="00911B9E" w:rsidRPr="00EC24F7">
        <w:rPr>
          <w:rFonts w:cs="Arial"/>
          <w:lang w:val="en-GB"/>
        </w:rPr>
        <w:t xml:space="preserve">  </w:t>
      </w:r>
    </w:p>
    <w:p w14:paraId="07B1CB6C" w14:textId="71196B6C" w:rsidR="00C7699E" w:rsidRPr="00EC24F7" w:rsidRDefault="00C56B3C" w:rsidP="00355650">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In the event</w:t>
      </w:r>
      <w:r w:rsidR="00A55663" w:rsidRPr="00EC24F7">
        <w:rPr>
          <w:rFonts w:cs="Arial"/>
          <w:lang w:val="en-GB"/>
        </w:rPr>
        <w:t xml:space="preserve"> that this Court </w:t>
      </w:r>
      <w:r w:rsidRPr="00EC24F7">
        <w:rPr>
          <w:rFonts w:cs="Arial"/>
          <w:lang w:val="en-GB"/>
        </w:rPr>
        <w:t xml:space="preserve">notwithstanding the City’s objections </w:t>
      </w:r>
      <w:r w:rsidR="00A55663" w:rsidRPr="00EC24F7">
        <w:rPr>
          <w:rFonts w:cs="Arial"/>
          <w:lang w:val="en-GB"/>
        </w:rPr>
        <w:t>is prepared to accept Mr Al-Habsy’s hearsay evidence</w:t>
      </w:r>
      <w:r w:rsidR="0070740D">
        <w:rPr>
          <w:rFonts w:cs="Arial"/>
          <w:lang w:val="en-GB"/>
        </w:rPr>
        <w:t>,</w:t>
      </w:r>
      <w:r w:rsidR="00A55663" w:rsidRPr="00EC24F7">
        <w:rPr>
          <w:rFonts w:cs="Arial"/>
          <w:lang w:val="en-GB"/>
        </w:rPr>
        <w:t xml:space="preserve"> </w:t>
      </w:r>
      <w:r w:rsidRPr="00EC24F7">
        <w:rPr>
          <w:rFonts w:cs="Arial"/>
          <w:lang w:val="en-GB"/>
        </w:rPr>
        <w:t xml:space="preserve">it appears that the majority of the unlawful occupiers are engaged in various forms of informal labour such </w:t>
      </w:r>
      <w:r w:rsidRPr="00EC24F7">
        <w:rPr>
          <w:rFonts w:cs="Arial"/>
          <w:lang w:val="en-GB"/>
        </w:rPr>
        <w:t>skareling or recycling</w:t>
      </w:r>
      <w:r w:rsidRPr="00EC24F7">
        <w:rPr>
          <w:rFonts w:cs="Arial"/>
          <w:lang w:val="en-GB"/>
        </w:rPr>
        <w:t xml:space="preserve">.  It bears emphasis that no case is made out by the unlawful occupiers that they cannot engage in these activities in the vicinity of the Langa site or that the only place that they can do so is </w:t>
      </w:r>
      <w:r w:rsidRPr="00EC24F7">
        <w:rPr>
          <w:rFonts w:cs="Arial"/>
          <w:lang w:val="en-GB"/>
        </w:rPr>
        <w:t>the CBD/Woodstock</w:t>
      </w:r>
      <w:r w:rsidRPr="00EC24F7">
        <w:rPr>
          <w:rFonts w:cs="Arial"/>
          <w:lang w:val="en-GB"/>
        </w:rPr>
        <w:t xml:space="preserve"> area.</w:t>
      </w:r>
      <w:r w:rsidR="0072045D" w:rsidRPr="00EC24F7">
        <w:rPr>
          <w:rFonts w:cs="Arial"/>
          <w:lang w:val="en-GB"/>
        </w:rPr>
        <w:t xml:space="preserve">  </w:t>
      </w:r>
      <w:r w:rsidR="009B67CB" w:rsidRPr="00EC24F7">
        <w:rPr>
          <w:rFonts w:cs="Arial"/>
          <w:lang w:val="en-GB"/>
        </w:rPr>
        <w:t xml:space="preserve">It is telling that the unlawful occupiers do not even allege that </w:t>
      </w:r>
      <w:r w:rsidR="005C7B94" w:rsidRPr="00EC24F7">
        <w:rPr>
          <w:rFonts w:cs="Arial"/>
          <w:lang w:val="en-GB"/>
        </w:rPr>
        <w:t xml:space="preserve">the kinds of informal activities that they supposedly engage </w:t>
      </w:r>
      <w:r w:rsidR="0070740D">
        <w:rPr>
          <w:rFonts w:cs="Arial"/>
          <w:lang w:val="en-GB"/>
        </w:rPr>
        <w:t xml:space="preserve">in </w:t>
      </w:r>
      <w:r w:rsidR="005C7B94" w:rsidRPr="00EC24F7">
        <w:rPr>
          <w:rFonts w:cs="Arial"/>
          <w:lang w:val="en-GB"/>
        </w:rPr>
        <w:t>are not available in the Langa area.  On the evidence t</w:t>
      </w:r>
      <w:r w:rsidR="0072045D" w:rsidRPr="00EC24F7">
        <w:rPr>
          <w:rFonts w:cs="Arial"/>
          <w:lang w:val="en-GB"/>
        </w:rPr>
        <w:t>here is simply no</w:t>
      </w:r>
      <w:r w:rsidR="00317FBF">
        <w:rPr>
          <w:rFonts w:cs="Arial"/>
          <w:lang w:val="en-GB"/>
        </w:rPr>
        <w:t xml:space="preserve"> reason why the</w:t>
      </w:r>
      <w:r w:rsidR="0072045D" w:rsidRPr="00EC24F7">
        <w:rPr>
          <w:rFonts w:cs="Arial"/>
          <w:lang w:val="en-GB"/>
        </w:rPr>
        <w:t xml:space="preserve"> </w:t>
      </w:r>
      <w:r w:rsidR="00C638FC" w:rsidRPr="00EC24F7">
        <w:rPr>
          <w:rFonts w:cs="Arial"/>
          <w:lang w:val="en-GB"/>
        </w:rPr>
        <w:t>73 unemployed persons/those who engage in informal employment, must remain close to Woodstock or the CBD for purposes informal work</w:t>
      </w:r>
      <w:r w:rsidR="005C7B94" w:rsidRPr="00EC24F7">
        <w:rPr>
          <w:rFonts w:cs="Arial"/>
          <w:lang w:val="en-GB"/>
        </w:rPr>
        <w:t xml:space="preserve">, </w:t>
      </w:r>
      <w:r w:rsidR="00C638FC" w:rsidRPr="00EC24F7">
        <w:rPr>
          <w:rFonts w:cs="Arial"/>
          <w:lang w:val="en-GB"/>
        </w:rPr>
        <w:t xml:space="preserve">particularly </w:t>
      </w:r>
      <w:r w:rsidR="005C7B94" w:rsidRPr="00EC24F7">
        <w:rPr>
          <w:rFonts w:cs="Arial"/>
          <w:lang w:val="en-GB"/>
        </w:rPr>
        <w:t>given that it is not in dispute that</w:t>
      </w:r>
      <w:r w:rsidR="00C638FC" w:rsidRPr="00EC24F7">
        <w:rPr>
          <w:rFonts w:cs="Arial"/>
          <w:lang w:val="en-GB"/>
        </w:rPr>
        <w:t xml:space="preserve"> </w:t>
      </w:r>
      <w:r w:rsidR="005C7B94" w:rsidRPr="00EC24F7">
        <w:rPr>
          <w:rFonts w:cs="Arial"/>
          <w:lang w:val="en-GB"/>
        </w:rPr>
        <w:t>the</w:t>
      </w:r>
      <w:r w:rsidR="00C638FC" w:rsidRPr="00EC24F7">
        <w:rPr>
          <w:rFonts w:cs="Arial"/>
          <w:lang w:val="en-GB"/>
        </w:rPr>
        <w:t xml:space="preserve"> Langa </w:t>
      </w:r>
      <w:r w:rsidR="005C7B94" w:rsidRPr="00EC24F7">
        <w:rPr>
          <w:rFonts w:cs="Arial"/>
          <w:lang w:val="en-GB"/>
        </w:rPr>
        <w:t xml:space="preserve">site </w:t>
      </w:r>
      <w:r w:rsidR="00C638FC" w:rsidRPr="00EC24F7">
        <w:rPr>
          <w:rFonts w:cs="Arial"/>
          <w:lang w:val="en-GB"/>
        </w:rPr>
        <w:t xml:space="preserve">abuts both the Epping industrial areas and therefore would provide much better opportunities for the sort of informal employment </w:t>
      </w:r>
      <w:r w:rsidR="005C7B94" w:rsidRPr="00EC24F7">
        <w:rPr>
          <w:rFonts w:cs="Arial"/>
          <w:lang w:val="en-GB"/>
        </w:rPr>
        <w:t xml:space="preserve">supposedly </w:t>
      </w:r>
      <w:r w:rsidR="00C638FC" w:rsidRPr="00EC24F7">
        <w:rPr>
          <w:rFonts w:cs="Arial"/>
          <w:lang w:val="en-GB"/>
        </w:rPr>
        <w:t xml:space="preserve">engaged in by the </w:t>
      </w:r>
      <w:r w:rsidR="005C7B94" w:rsidRPr="00EC24F7">
        <w:rPr>
          <w:rFonts w:cs="Arial"/>
          <w:lang w:val="en-GB"/>
        </w:rPr>
        <w:t xml:space="preserve">unlawful </w:t>
      </w:r>
      <w:r w:rsidR="00C638FC" w:rsidRPr="00EC24F7">
        <w:rPr>
          <w:rFonts w:cs="Arial"/>
          <w:lang w:val="en-GB"/>
        </w:rPr>
        <w:t>occupiers.</w:t>
      </w:r>
      <w:r w:rsidR="00C638FC" w:rsidRPr="00EC24F7">
        <w:rPr>
          <w:rStyle w:val="FootnoteReference"/>
          <w:rFonts w:cs="Arial"/>
          <w:lang w:val="en-GB"/>
        </w:rPr>
        <w:footnoteReference w:id="188"/>
      </w:r>
      <w:r w:rsidR="00D43421" w:rsidRPr="00EC24F7">
        <w:rPr>
          <w:rFonts w:cs="Arial"/>
          <w:lang w:val="en-GB"/>
        </w:rPr>
        <w:t xml:space="preserve">  </w:t>
      </w:r>
      <w:r w:rsidR="004C66E1" w:rsidRPr="00EC24F7">
        <w:rPr>
          <w:rFonts w:cs="Arial"/>
          <w:lang w:val="en-GB"/>
        </w:rPr>
        <w:t xml:space="preserve">As for the </w:t>
      </w:r>
      <w:r w:rsidR="00C638FC" w:rsidRPr="00EC24F7">
        <w:rPr>
          <w:rFonts w:cs="Arial"/>
          <w:lang w:val="en-GB"/>
        </w:rPr>
        <w:t xml:space="preserve">15 persons who </w:t>
      </w:r>
      <w:r w:rsidR="004C66E1" w:rsidRPr="00EC24F7">
        <w:rPr>
          <w:rFonts w:cs="Arial"/>
          <w:lang w:val="en-GB"/>
        </w:rPr>
        <w:t xml:space="preserve">supposedly </w:t>
      </w:r>
      <w:r w:rsidR="00C638FC" w:rsidRPr="00EC24F7">
        <w:rPr>
          <w:rFonts w:cs="Arial"/>
          <w:lang w:val="en-GB"/>
        </w:rPr>
        <w:t>are employed</w:t>
      </w:r>
      <w:r w:rsidR="00317FBF">
        <w:rPr>
          <w:rFonts w:cs="Arial"/>
          <w:lang w:val="en-GB"/>
        </w:rPr>
        <w:t>,</w:t>
      </w:r>
      <w:r w:rsidR="004C66E1" w:rsidRPr="00EC24F7">
        <w:rPr>
          <w:rFonts w:cs="Arial"/>
          <w:lang w:val="en-GB"/>
        </w:rPr>
        <w:t xml:space="preserve"> again absolutely no reason is </w:t>
      </w:r>
      <w:r w:rsidR="00317FBF">
        <w:rPr>
          <w:rFonts w:cs="Arial"/>
          <w:lang w:val="en-GB"/>
        </w:rPr>
        <w:t>p</w:t>
      </w:r>
      <w:r w:rsidR="00113F9D" w:rsidRPr="00EC24F7">
        <w:rPr>
          <w:rFonts w:cs="Arial"/>
          <w:lang w:val="en-GB"/>
        </w:rPr>
        <w:t xml:space="preserve">ut forward </w:t>
      </w:r>
      <w:r w:rsidR="004C66E1" w:rsidRPr="00EC24F7">
        <w:rPr>
          <w:rFonts w:cs="Arial"/>
          <w:lang w:val="en-GB"/>
        </w:rPr>
        <w:t>on the evidence as why</w:t>
      </w:r>
      <w:r w:rsidR="00317FBF">
        <w:rPr>
          <w:rFonts w:cs="Arial"/>
          <w:lang w:val="en-GB"/>
        </w:rPr>
        <w:t xml:space="preserve"> </w:t>
      </w:r>
      <w:r w:rsidR="00C638FC" w:rsidRPr="00EC24F7">
        <w:rPr>
          <w:rFonts w:cs="Arial"/>
          <w:lang w:val="en-GB"/>
        </w:rPr>
        <w:t>they cannot use public transport</w:t>
      </w:r>
      <w:r w:rsidR="004C66E1" w:rsidRPr="00EC24F7">
        <w:rPr>
          <w:rFonts w:cs="Arial"/>
          <w:lang w:val="en-GB"/>
        </w:rPr>
        <w:t xml:space="preserve"> </w:t>
      </w:r>
      <w:r w:rsidR="00D43421" w:rsidRPr="00EC24F7">
        <w:rPr>
          <w:rFonts w:cs="Arial"/>
          <w:lang w:val="en-GB"/>
        </w:rPr>
        <w:t xml:space="preserve">like the majority of South Africans who are employed </w:t>
      </w:r>
      <w:r w:rsidR="004C66E1" w:rsidRPr="00EC24F7">
        <w:rPr>
          <w:rFonts w:cs="Arial"/>
          <w:lang w:val="en-GB"/>
        </w:rPr>
        <w:t>to travel the</w:t>
      </w:r>
      <w:r w:rsidR="00113F9D" w:rsidRPr="00EC24F7">
        <w:rPr>
          <w:rFonts w:cs="Arial"/>
          <w:lang w:val="en-GB"/>
        </w:rPr>
        <w:t xml:space="preserve"> 13km</w:t>
      </w:r>
      <w:r w:rsidR="00D43421" w:rsidRPr="00EC24F7">
        <w:rPr>
          <w:rFonts w:cs="Arial"/>
          <w:lang w:val="en-GB"/>
        </w:rPr>
        <w:t xml:space="preserve"> – 16km</w:t>
      </w:r>
      <w:r w:rsidR="00113F9D" w:rsidRPr="00EC24F7">
        <w:rPr>
          <w:rFonts w:cs="Arial"/>
          <w:lang w:val="en-GB"/>
        </w:rPr>
        <w:t xml:space="preserve"> distance between </w:t>
      </w:r>
      <w:r w:rsidR="00D43421" w:rsidRPr="00EC24F7">
        <w:rPr>
          <w:rFonts w:cs="Arial"/>
          <w:lang w:val="en-GB"/>
        </w:rPr>
        <w:t>the CBD/Woodstock area</w:t>
      </w:r>
      <w:r w:rsidR="00D43421" w:rsidRPr="00EC24F7">
        <w:rPr>
          <w:rFonts w:cs="Arial"/>
          <w:lang w:val="en-GB"/>
        </w:rPr>
        <w:t xml:space="preserve"> </w:t>
      </w:r>
      <w:r w:rsidR="00D43421" w:rsidRPr="00EC24F7">
        <w:rPr>
          <w:rFonts w:cs="Arial"/>
          <w:lang w:val="en-GB"/>
        </w:rPr>
        <w:lastRenderedPageBreak/>
        <w:t>and the Langa site</w:t>
      </w:r>
      <w:r w:rsidR="00C638FC" w:rsidRPr="00EC24F7">
        <w:rPr>
          <w:rFonts w:cs="Arial"/>
          <w:lang w:val="en-GB"/>
        </w:rPr>
        <w:t>.</w:t>
      </w:r>
      <w:r w:rsidR="00C638FC" w:rsidRPr="00EC24F7">
        <w:rPr>
          <w:rStyle w:val="FootnoteReference"/>
          <w:rFonts w:cs="Arial"/>
          <w:lang w:val="en-GB"/>
        </w:rPr>
        <w:footnoteReference w:id="189"/>
      </w:r>
      <w:r w:rsidR="00C638FC" w:rsidRPr="00EC24F7">
        <w:rPr>
          <w:rFonts w:cs="Arial"/>
          <w:lang w:val="en-GB"/>
        </w:rPr>
        <w:t xml:space="preserve"> </w:t>
      </w:r>
      <w:r w:rsidR="00C7699E" w:rsidRPr="00EC24F7">
        <w:rPr>
          <w:rFonts w:cs="Arial"/>
          <w:lang w:val="en-GB"/>
        </w:rPr>
        <w:t>Mr Al-Habsy</w:t>
      </w:r>
      <w:r w:rsidR="00C7699E" w:rsidRPr="00EC24F7">
        <w:rPr>
          <w:rFonts w:cs="Arial"/>
          <w:lang w:val="en-GB"/>
        </w:rPr>
        <w:t>’s</w:t>
      </w:r>
      <w:r w:rsidR="00C7699E" w:rsidRPr="00EC24F7">
        <w:rPr>
          <w:rFonts w:cs="Arial"/>
        </w:rPr>
        <w:t xml:space="preserve"> </w:t>
      </w:r>
      <w:r w:rsidR="00C7699E" w:rsidRPr="00EC24F7">
        <w:rPr>
          <w:rFonts w:cs="Arial"/>
        </w:rPr>
        <w:t xml:space="preserve">complaints regarding a </w:t>
      </w:r>
      <w:r w:rsidR="00C7699E" w:rsidRPr="00EC24F7">
        <w:rPr>
          <w:rFonts w:cs="Arial"/>
          <w:i/>
          <w:iCs/>
          <w:lang w:val="en-GB"/>
        </w:rPr>
        <w:t>‘bureaucratic deadlock’</w:t>
      </w:r>
      <w:r w:rsidR="00C7699E" w:rsidRPr="00EC24F7">
        <w:rPr>
          <w:rStyle w:val="FootnoteReference"/>
          <w:rFonts w:cs="Arial"/>
          <w:lang w:val="en-GB"/>
        </w:rPr>
        <w:footnoteReference w:id="190"/>
      </w:r>
      <w:r w:rsidR="00C7699E" w:rsidRPr="00EC24F7">
        <w:rPr>
          <w:rFonts w:cs="Arial"/>
          <w:lang w:val="en-GB"/>
        </w:rPr>
        <w:t xml:space="preserve"> </w:t>
      </w:r>
      <w:r w:rsidR="00C7699E" w:rsidRPr="00EC24F7">
        <w:rPr>
          <w:rFonts w:cs="Arial"/>
        </w:rPr>
        <w:t xml:space="preserve">are illusory, given Transnet’s explicit willingness to dispose of the Langa site to the City for emergency housing </w:t>
      </w:r>
      <w:r w:rsidR="008F5F67" w:rsidRPr="00EC24F7">
        <w:rPr>
          <w:rFonts w:cs="Arial"/>
        </w:rPr>
        <w:t>for the unlawful occupiers</w:t>
      </w:r>
      <w:r w:rsidR="00C7699E" w:rsidRPr="00EC24F7">
        <w:rPr>
          <w:rFonts w:cs="Arial"/>
        </w:rPr>
        <w:t>.</w:t>
      </w:r>
      <w:r w:rsidR="00C7699E" w:rsidRPr="00EC24F7">
        <w:rPr>
          <w:rStyle w:val="FootnoteReference"/>
          <w:rFonts w:cs="Arial"/>
        </w:rPr>
        <w:footnoteReference w:id="191"/>
      </w:r>
    </w:p>
    <w:p w14:paraId="64DF7F3C" w14:textId="15837349" w:rsidR="00C638FC" w:rsidRPr="00EC24F7" w:rsidRDefault="008F5F67" w:rsidP="00C638FC">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The unlawful occupiers’</w:t>
      </w:r>
      <w:r w:rsidR="00C638FC" w:rsidRPr="00EC24F7">
        <w:rPr>
          <w:rFonts w:cs="Arial"/>
          <w:lang w:val="en-GB"/>
        </w:rPr>
        <w:t xml:space="preserve"> out of hand rejection of the Langa site, without any credible basis to do so lends credence to the City’s </w:t>
      </w:r>
      <w:r w:rsidRPr="00EC24F7">
        <w:rPr>
          <w:rFonts w:cs="Arial"/>
          <w:lang w:val="en-GB"/>
        </w:rPr>
        <w:t>averments</w:t>
      </w:r>
      <w:r w:rsidR="00C638FC" w:rsidRPr="00EC24F7">
        <w:rPr>
          <w:rFonts w:cs="Arial"/>
          <w:lang w:val="en-GB"/>
        </w:rPr>
        <w:t xml:space="preserve"> regarding the real reason behind the </w:t>
      </w:r>
      <w:r w:rsidRPr="00EC24F7">
        <w:rPr>
          <w:rFonts w:cs="Arial"/>
          <w:lang w:val="en-GB"/>
        </w:rPr>
        <w:t>un</w:t>
      </w:r>
      <w:r w:rsidR="00C638FC" w:rsidRPr="00EC24F7">
        <w:rPr>
          <w:rFonts w:cs="Arial"/>
          <w:lang w:val="en-GB"/>
        </w:rPr>
        <w:t>lawful occupation.</w:t>
      </w:r>
      <w:r w:rsidR="00C638FC" w:rsidRPr="00EC24F7">
        <w:rPr>
          <w:rStyle w:val="FootnoteReference"/>
          <w:rFonts w:cs="Arial"/>
          <w:lang w:val="en-GB"/>
        </w:rPr>
        <w:footnoteReference w:id="192"/>
      </w:r>
      <w:r w:rsidR="00C638FC" w:rsidRPr="00EC24F7">
        <w:rPr>
          <w:rFonts w:cs="Arial"/>
          <w:lang w:val="en-GB"/>
        </w:rPr>
        <w:t xml:space="preserve"> </w:t>
      </w:r>
      <w:r w:rsidR="00DA7E7F" w:rsidRPr="00EC24F7">
        <w:rPr>
          <w:rFonts w:cs="Arial"/>
          <w:lang w:val="en-GB"/>
        </w:rPr>
        <w:t xml:space="preserve"> </w:t>
      </w:r>
    </w:p>
    <w:p w14:paraId="711E2270" w14:textId="77777777" w:rsidR="004E4D71" w:rsidRPr="004E4D71" w:rsidRDefault="00720D0C" w:rsidP="00D756ED">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Moreover</w:t>
      </w:r>
      <w:r w:rsidR="008B5836">
        <w:rPr>
          <w:rFonts w:cs="Arial"/>
          <w:lang w:val="en-GB"/>
        </w:rPr>
        <w:t>,</w:t>
      </w:r>
      <w:r w:rsidRPr="00EC24F7">
        <w:rPr>
          <w:rFonts w:cs="Arial"/>
          <w:lang w:val="en-GB"/>
        </w:rPr>
        <w:t xml:space="preserve"> there is no legal basis for the unlawful occupiers to contend that they are entitled to be offered emergency housing in </w:t>
      </w:r>
      <w:r w:rsidR="00500289" w:rsidRPr="00EC24F7">
        <w:rPr>
          <w:rFonts w:cs="Arial"/>
          <w:lang w:val="en-GB"/>
        </w:rPr>
        <w:t>or around the Woodstock/CBD are</w:t>
      </w:r>
      <w:r w:rsidR="003A7510" w:rsidRPr="00EC24F7">
        <w:rPr>
          <w:rFonts w:cs="Arial"/>
          <w:lang w:val="en-GB"/>
        </w:rPr>
        <w:t xml:space="preserve">a because </w:t>
      </w:r>
      <w:r w:rsidR="003A7510" w:rsidRPr="00EC24F7">
        <w:rPr>
          <w:rFonts w:cs="Arial"/>
        </w:rPr>
        <w:t>the law does not provide evictees with a right to emergency housing in a specific location</w:t>
      </w:r>
      <w:r w:rsidR="003A7510" w:rsidRPr="00EC24F7">
        <w:rPr>
          <w:rFonts w:cs="Arial"/>
        </w:rPr>
        <w:t>.</w:t>
      </w:r>
      <w:r w:rsidR="003A7510" w:rsidRPr="00EC24F7">
        <w:rPr>
          <w:rStyle w:val="FootnoteReference"/>
          <w:rFonts w:cs="Arial"/>
          <w:lang w:val="en-GB"/>
        </w:rPr>
        <w:footnoteReference w:id="193"/>
      </w:r>
      <w:r w:rsidR="00402734" w:rsidRPr="00EC24F7">
        <w:rPr>
          <w:rFonts w:cs="Arial"/>
        </w:rPr>
        <w:t xml:space="preserve">  The key issues in determining the</w:t>
      </w:r>
      <w:r w:rsidR="009761D5" w:rsidRPr="00EC24F7">
        <w:rPr>
          <w:rFonts w:cs="Arial"/>
        </w:rPr>
        <w:t xml:space="preserve"> appropriateness of an offer of emergency housing in a particular</w:t>
      </w:r>
      <w:r w:rsidR="00402734" w:rsidRPr="00EC24F7">
        <w:rPr>
          <w:rFonts w:cs="Arial"/>
        </w:rPr>
        <w:t xml:space="preserve"> location is always one of reasonableness</w:t>
      </w:r>
      <w:r w:rsidR="009761D5" w:rsidRPr="00EC24F7">
        <w:rPr>
          <w:rFonts w:cs="Arial"/>
        </w:rPr>
        <w:t>.</w:t>
      </w:r>
      <w:r w:rsidR="009761D5" w:rsidRPr="00EC24F7">
        <w:rPr>
          <w:rStyle w:val="FootnoteReference"/>
          <w:rFonts w:cs="Arial"/>
          <w:lang w:val="en-GB"/>
        </w:rPr>
        <w:footnoteReference w:id="194"/>
      </w:r>
      <w:r w:rsidR="009761D5" w:rsidRPr="00EC24F7">
        <w:rPr>
          <w:rFonts w:cs="Arial"/>
        </w:rPr>
        <w:t xml:space="preserve">  </w:t>
      </w:r>
    </w:p>
    <w:p w14:paraId="1F269D94" w14:textId="5CE48FDC" w:rsidR="00C638FC" w:rsidRPr="004E4D71" w:rsidRDefault="008172CB" w:rsidP="004E4D71">
      <w:pPr>
        <w:pStyle w:val="ListParagraph"/>
        <w:numPr>
          <w:ilvl w:val="0"/>
          <w:numId w:val="2"/>
        </w:numPr>
        <w:spacing w:before="120" w:beforeAutospacing="0" w:after="360" w:afterAutospacing="0" w:line="480" w:lineRule="auto"/>
        <w:jc w:val="both"/>
        <w:rPr>
          <w:rFonts w:cs="Arial"/>
          <w:lang w:val="en-GB"/>
        </w:rPr>
      </w:pPr>
      <w:r w:rsidRPr="00EC24F7">
        <w:rPr>
          <w:rFonts w:cs="Arial"/>
        </w:rPr>
        <w:t xml:space="preserve">In </w:t>
      </w:r>
      <w:r w:rsidRPr="00EC24F7">
        <w:rPr>
          <w:rFonts w:cs="Arial"/>
          <w:i/>
          <w:iCs/>
        </w:rPr>
        <w:t>Commando</w:t>
      </w:r>
      <w:r w:rsidR="00033640" w:rsidRPr="00EC24F7">
        <w:rPr>
          <w:rFonts w:cs="Arial"/>
          <w:i/>
          <w:iCs/>
        </w:rPr>
        <w:t>,</w:t>
      </w:r>
      <w:r w:rsidRPr="00EC24F7">
        <w:rPr>
          <w:rFonts w:cs="Arial"/>
        </w:rPr>
        <w:t xml:space="preserve"> the unlawful occupiers </w:t>
      </w:r>
      <w:r w:rsidR="0047755D" w:rsidRPr="00EC24F7">
        <w:rPr>
          <w:rFonts w:cs="Arial"/>
          <w:i/>
          <w:iCs/>
        </w:rPr>
        <w:t>‘</w:t>
      </w:r>
      <w:r w:rsidRPr="00EC24F7">
        <w:rPr>
          <w:rFonts w:cs="Arial"/>
          <w:i/>
          <w:iCs/>
        </w:rPr>
        <w:t>were no ordinary evictees. They had generational ties to the area, given the racially discriminatory practices of this country's past; they were one of the very few communities that managed to resist forced removals from 'White' cities under the apartheid regime</w:t>
      </w:r>
      <w:r w:rsidR="00670BD4" w:rsidRPr="00EC24F7">
        <w:rPr>
          <w:rFonts w:cs="Arial"/>
        </w:rPr>
        <w:t>’</w:t>
      </w:r>
      <w:r w:rsidRPr="00EC24F7">
        <w:rPr>
          <w:rFonts w:cs="Arial"/>
        </w:rPr>
        <w:t>.</w:t>
      </w:r>
      <w:r w:rsidR="00670BD4" w:rsidRPr="00EC24F7">
        <w:rPr>
          <w:rStyle w:val="FootnoteReference"/>
          <w:rFonts w:cs="Arial"/>
        </w:rPr>
        <w:footnoteReference w:id="195"/>
      </w:r>
      <w:r w:rsidRPr="00EC24F7">
        <w:rPr>
          <w:rFonts w:cs="Arial"/>
        </w:rPr>
        <w:t xml:space="preserve"> </w:t>
      </w:r>
      <w:r w:rsidR="00033640" w:rsidRPr="00EC24F7">
        <w:rPr>
          <w:rFonts w:cs="Arial"/>
        </w:rPr>
        <w:t xml:space="preserve"> </w:t>
      </w:r>
      <w:r w:rsidR="007518C5" w:rsidRPr="00EC24F7">
        <w:rPr>
          <w:rFonts w:cs="Arial"/>
        </w:rPr>
        <w:t xml:space="preserve">Moreover, their loss of </w:t>
      </w:r>
      <w:r w:rsidR="00D756ED" w:rsidRPr="00EC24F7">
        <w:rPr>
          <w:rFonts w:cs="Arial"/>
        </w:rPr>
        <w:t>accommodation</w:t>
      </w:r>
      <w:r w:rsidR="007518C5" w:rsidRPr="00EC24F7">
        <w:rPr>
          <w:rFonts w:cs="Arial"/>
        </w:rPr>
        <w:t xml:space="preserve"> was </w:t>
      </w:r>
      <w:r w:rsidR="007518C5" w:rsidRPr="00EC24F7">
        <w:rPr>
          <w:rFonts w:cs="Arial"/>
        </w:rPr>
        <w:t xml:space="preserve">directly linked to a policy of gentrification </w:t>
      </w:r>
      <w:r w:rsidR="00D756ED" w:rsidRPr="00EC24F7">
        <w:rPr>
          <w:rFonts w:cs="Arial"/>
        </w:rPr>
        <w:t xml:space="preserve">and in these circumstances the Constitutional Court found that the </w:t>
      </w:r>
      <w:r w:rsidR="00D756ED" w:rsidRPr="00EC24F7">
        <w:rPr>
          <w:rFonts w:cs="Arial"/>
        </w:rPr>
        <w:t>City</w:t>
      </w:r>
      <w:r w:rsidR="00D756ED" w:rsidRPr="00EC24F7">
        <w:rPr>
          <w:rFonts w:cs="Arial"/>
        </w:rPr>
        <w:t xml:space="preserve">’s conduct </w:t>
      </w:r>
      <w:r w:rsidR="00D756ED" w:rsidRPr="00EC24F7">
        <w:rPr>
          <w:rFonts w:cs="Arial"/>
        </w:rPr>
        <w:t>was unreasonable because it failed to mitigate the consequences of gentrification on the most vulnerable</w:t>
      </w:r>
      <w:r w:rsidR="00D756ED" w:rsidRPr="00EC24F7">
        <w:rPr>
          <w:rFonts w:cs="Arial"/>
        </w:rPr>
        <w:t>.</w:t>
      </w:r>
      <w:r w:rsidR="00D756ED" w:rsidRPr="00EC24F7">
        <w:rPr>
          <w:rStyle w:val="FootnoteReference"/>
          <w:rFonts w:cs="Arial"/>
        </w:rPr>
        <w:footnoteReference w:id="196"/>
      </w:r>
      <w:r w:rsidR="004E4D71">
        <w:rPr>
          <w:rFonts w:cs="Arial"/>
        </w:rPr>
        <w:t xml:space="preserve">  </w:t>
      </w:r>
      <w:r w:rsidR="009773E9" w:rsidRPr="004E4D71">
        <w:rPr>
          <w:rFonts w:cs="Arial"/>
          <w:color w:val="242121"/>
        </w:rPr>
        <w:t xml:space="preserve">The facts of this matter are entirely distinguishable and </w:t>
      </w:r>
      <w:r w:rsidR="009773E9" w:rsidRPr="004E4D71">
        <w:rPr>
          <w:rFonts w:cs="Arial"/>
          <w:color w:val="242121"/>
        </w:rPr>
        <w:lastRenderedPageBreak/>
        <w:t xml:space="preserve">in particular </w:t>
      </w:r>
      <w:r w:rsidR="009773E9" w:rsidRPr="004E4D71">
        <w:rPr>
          <w:rFonts w:cs="Arial"/>
          <w:lang w:val="en-GB"/>
        </w:rPr>
        <w:t>g</w:t>
      </w:r>
      <w:r w:rsidR="00C638FC" w:rsidRPr="004E4D71">
        <w:rPr>
          <w:rFonts w:cs="Arial"/>
          <w:lang w:val="en-GB"/>
        </w:rPr>
        <w:t xml:space="preserve">iven that the City’s </w:t>
      </w:r>
      <w:r w:rsidR="009773E9" w:rsidRPr="004E4D71">
        <w:rPr>
          <w:rFonts w:cs="Arial"/>
          <w:lang w:val="en-GB"/>
        </w:rPr>
        <w:t>undis</w:t>
      </w:r>
      <w:r w:rsidR="00650B22" w:rsidRPr="004E4D71">
        <w:rPr>
          <w:rFonts w:cs="Arial"/>
          <w:lang w:val="en-GB"/>
        </w:rPr>
        <w:t>puted evidence that it has no emergency housing other than the Langa site available for the unlawful o</w:t>
      </w:r>
      <w:r w:rsidR="00C638FC" w:rsidRPr="004E4D71">
        <w:rPr>
          <w:rFonts w:cs="Arial"/>
          <w:lang w:val="en-GB"/>
        </w:rPr>
        <w:t xml:space="preserve">ccupiers </w:t>
      </w:r>
      <w:r w:rsidR="00650B22" w:rsidRPr="004E4D71">
        <w:rPr>
          <w:rFonts w:cs="Arial"/>
          <w:lang w:val="en-GB"/>
        </w:rPr>
        <w:t>it must be accepted that</w:t>
      </w:r>
      <w:r w:rsidR="00C638FC" w:rsidRPr="004E4D71">
        <w:rPr>
          <w:rFonts w:cs="Arial"/>
          <w:lang w:val="en-GB"/>
        </w:rPr>
        <w:t xml:space="preserve"> the Langa site is </w:t>
      </w:r>
      <w:r w:rsidR="00650B22" w:rsidRPr="004E4D71">
        <w:rPr>
          <w:rFonts w:cs="Arial"/>
          <w:lang w:val="en-GB"/>
        </w:rPr>
        <w:t xml:space="preserve">on the facts </w:t>
      </w:r>
      <w:r w:rsidR="00C638FC" w:rsidRPr="004E4D71">
        <w:rPr>
          <w:rFonts w:cs="Arial"/>
          <w:lang w:val="en-GB"/>
        </w:rPr>
        <w:t>as close as reasonably possible</w:t>
      </w:r>
      <w:r w:rsidR="00650B22" w:rsidRPr="004E4D71">
        <w:rPr>
          <w:rFonts w:cs="Arial"/>
          <w:lang w:val="en-GB"/>
        </w:rPr>
        <w:t xml:space="preserve"> to the properties. </w:t>
      </w:r>
    </w:p>
    <w:p w14:paraId="7A0E39A3" w14:textId="02CEA547" w:rsidR="00D14A42" w:rsidRPr="00EC24F7" w:rsidRDefault="00C638FC" w:rsidP="00D14A42">
      <w:pPr>
        <w:pStyle w:val="Heading2"/>
        <w:rPr>
          <w:rFonts w:cs="Arial"/>
          <w:b w:val="0"/>
          <w:bCs/>
          <w:szCs w:val="24"/>
          <w:lang w:val="en-GB"/>
        </w:rPr>
      </w:pPr>
      <w:bookmarkStart w:id="19" w:name="_Toc225751548"/>
      <w:bookmarkStart w:id="20" w:name="_Toc226040131"/>
      <w:r w:rsidRPr="00EC24F7">
        <w:rPr>
          <w:rFonts w:cs="Arial"/>
          <w:bCs/>
          <w:szCs w:val="24"/>
          <w:lang w:val="en-GB"/>
        </w:rPr>
        <w:t>U</w:t>
      </w:r>
      <w:r w:rsidR="00D14A42" w:rsidRPr="00EC24F7">
        <w:rPr>
          <w:rFonts w:cs="Arial"/>
          <w:bCs/>
          <w:szCs w:val="24"/>
          <w:lang w:val="en-GB"/>
        </w:rPr>
        <w:t>ndocumented foreign nationals</w:t>
      </w:r>
      <w:bookmarkEnd w:id="19"/>
      <w:bookmarkEnd w:id="20"/>
    </w:p>
    <w:p w14:paraId="0EC625B8" w14:textId="3ABB25F0" w:rsidR="00D14A42" w:rsidRPr="00EC24F7" w:rsidRDefault="00D14A42" w:rsidP="00D14A42">
      <w:pPr>
        <w:numPr>
          <w:ilvl w:val="0"/>
          <w:numId w:val="2"/>
        </w:numPr>
        <w:snapToGrid w:val="0"/>
        <w:spacing w:before="120" w:after="360" w:line="480" w:lineRule="auto"/>
        <w:jc w:val="both"/>
        <w:rPr>
          <w:rFonts w:eastAsiaTheme="minorHAnsi" w:cs="Arial"/>
          <w:color w:val="2B2B2B"/>
          <w:lang w:val="en-GB"/>
        </w:rPr>
      </w:pPr>
      <w:r w:rsidRPr="00EC24F7">
        <w:rPr>
          <w:rFonts w:eastAsiaTheme="minorHAnsi" w:cs="Arial"/>
          <w:color w:val="2B2B2B"/>
          <w:lang w:val="en-GB"/>
        </w:rPr>
        <w:t xml:space="preserve">Transnet and </w:t>
      </w:r>
      <w:r w:rsidR="00D60A76" w:rsidRPr="00EC24F7">
        <w:rPr>
          <w:rFonts w:eastAsiaTheme="minorHAnsi" w:cs="Arial"/>
          <w:color w:val="2B2B2B"/>
          <w:lang w:val="en-GB"/>
        </w:rPr>
        <w:t>the unlawful occupiers</w:t>
      </w:r>
      <w:r w:rsidRPr="00EC24F7">
        <w:rPr>
          <w:rFonts w:eastAsiaTheme="minorHAnsi" w:cs="Arial"/>
          <w:color w:val="2B2B2B"/>
          <w:lang w:val="en-GB"/>
        </w:rPr>
        <w:t xml:space="preserve"> </w:t>
      </w:r>
      <w:r w:rsidR="00D60A76" w:rsidRPr="00EC24F7">
        <w:rPr>
          <w:rFonts w:eastAsiaTheme="minorHAnsi" w:cs="Arial"/>
          <w:color w:val="2B2B2B"/>
          <w:lang w:val="en-GB"/>
        </w:rPr>
        <w:t xml:space="preserve">contend that it is irrelevant </w:t>
      </w:r>
      <w:r w:rsidRPr="00EC24F7">
        <w:rPr>
          <w:rFonts w:eastAsiaTheme="minorHAnsi" w:cs="Arial"/>
          <w:color w:val="2B2B2B"/>
          <w:lang w:val="en-GB"/>
        </w:rPr>
        <w:t xml:space="preserve">whether an unlawful occupier is </w:t>
      </w:r>
      <w:r w:rsidR="00D60A76" w:rsidRPr="00EC24F7">
        <w:rPr>
          <w:rFonts w:eastAsiaTheme="minorHAnsi" w:cs="Arial"/>
          <w:color w:val="2B2B2B"/>
          <w:lang w:val="en-GB"/>
        </w:rPr>
        <w:t>an illegal foreigner as de</w:t>
      </w:r>
      <w:r w:rsidR="007C2DB6" w:rsidRPr="00EC24F7">
        <w:rPr>
          <w:rFonts w:eastAsiaTheme="minorHAnsi" w:cs="Arial"/>
          <w:color w:val="2B2B2B"/>
          <w:lang w:val="en-GB"/>
        </w:rPr>
        <w:t>fined by the Immigration Act</w:t>
      </w:r>
      <w:r w:rsidR="007A27A4" w:rsidRPr="00EC24F7">
        <w:rPr>
          <w:rFonts w:eastAsiaTheme="minorHAnsi" w:cs="Arial"/>
          <w:color w:val="2B2B2B"/>
          <w:lang w:val="en-GB"/>
        </w:rPr>
        <w:t xml:space="preserve"> 13 of 2002 (‘the Immigration Act’)</w:t>
      </w:r>
      <w:r w:rsidR="007C2DB6" w:rsidRPr="00EC24F7">
        <w:rPr>
          <w:rFonts w:eastAsiaTheme="minorHAnsi" w:cs="Arial"/>
          <w:color w:val="2B2B2B"/>
          <w:lang w:val="en-GB"/>
        </w:rPr>
        <w:t xml:space="preserve"> and that irrespective of whether they have any lawful entitlement to remain in the country they must be offered </w:t>
      </w:r>
      <w:r w:rsidRPr="00EC24F7">
        <w:rPr>
          <w:rFonts w:eastAsiaTheme="minorHAnsi" w:cs="Arial"/>
          <w:color w:val="2B2B2B"/>
          <w:lang w:val="en-GB"/>
        </w:rPr>
        <w:t xml:space="preserve">emergency </w:t>
      </w:r>
      <w:r w:rsidR="007C2DB6" w:rsidRPr="00EC24F7">
        <w:rPr>
          <w:rFonts w:eastAsiaTheme="minorHAnsi" w:cs="Arial"/>
          <w:color w:val="2B2B2B"/>
          <w:lang w:val="en-GB"/>
        </w:rPr>
        <w:t>housing</w:t>
      </w:r>
      <w:r w:rsidRPr="00EC24F7">
        <w:rPr>
          <w:rFonts w:eastAsiaTheme="minorHAnsi" w:cs="Arial"/>
          <w:color w:val="2B2B2B"/>
          <w:lang w:val="en-GB"/>
        </w:rPr>
        <w:t>.</w:t>
      </w:r>
      <w:r w:rsidRPr="00EC24F7">
        <w:rPr>
          <w:rStyle w:val="FootnoteReference"/>
          <w:rFonts w:eastAsiaTheme="minorHAnsi" w:cs="Arial"/>
          <w:color w:val="2B2B2B"/>
          <w:lang w:val="en-GB"/>
        </w:rPr>
        <w:footnoteReference w:id="197"/>
      </w:r>
      <w:r w:rsidRPr="00EC24F7">
        <w:rPr>
          <w:rFonts w:eastAsiaTheme="minorHAnsi" w:cs="Arial"/>
          <w:color w:val="2B2B2B"/>
          <w:lang w:val="en-GB"/>
        </w:rPr>
        <w:t xml:space="preserve"> This </w:t>
      </w:r>
      <w:r w:rsidR="007A27A4" w:rsidRPr="00EC24F7">
        <w:rPr>
          <w:rFonts w:eastAsiaTheme="minorHAnsi" w:cs="Arial"/>
          <w:color w:val="2B2B2B"/>
          <w:lang w:val="en-GB"/>
        </w:rPr>
        <w:t>is an astonishing submission</w:t>
      </w:r>
      <w:r w:rsidRPr="00EC24F7">
        <w:rPr>
          <w:rFonts w:eastAsiaTheme="minorHAnsi" w:cs="Arial"/>
          <w:color w:val="2B2B2B"/>
          <w:lang w:val="en-GB"/>
        </w:rPr>
        <w:t>.</w:t>
      </w:r>
      <w:r w:rsidR="00DD1F62" w:rsidRPr="00EC24F7">
        <w:rPr>
          <w:rFonts w:eastAsiaTheme="minorHAnsi" w:cs="Arial"/>
          <w:color w:val="2B2B2B"/>
          <w:lang w:val="en-GB"/>
        </w:rPr>
        <w:t xml:space="preserve">  Moreover, Transnet’s reliance on</w:t>
      </w:r>
      <w:r w:rsidR="00180E98" w:rsidRPr="00EC24F7">
        <w:rPr>
          <w:rFonts w:eastAsiaTheme="minorHAnsi" w:cs="Arial"/>
          <w:color w:val="2B2B2B"/>
          <w:lang w:val="en-GB"/>
        </w:rPr>
        <w:t xml:space="preserve"> the judgment in</w:t>
      </w:r>
      <w:r w:rsidR="00DD1F62" w:rsidRPr="00EC24F7">
        <w:rPr>
          <w:rFonts w:eastAsiaTheme="minorHAnsi" w:cs="Arial"/>
          <w:color w:val="2B2B2B"/>
          <w:lang w:val="en-GB"/>
        </w:rPr>
        <w:t xml:space="preserve"> </w:t>
      </w:r>
      <w:r w:rsidR="00DD1F62" w:rsidRPr="00EC24F7">
        <w:rPr>
          <w:rFonts w:cs="Arial"/>
          <w:i/>
          <w:iCs/>
          <w:color w:val="000000" w:themeColor="text1"/>
          <w:lang w:val="en-US"/>
        </w:rPr>
        <w:t xml:space="preserve">Chapelgate </w:t>
      </w:r>
      <w:r w:rsidR="005478B8" w:rsidRPr="00EC24F7">
        <w:rPr>
          <w:rFonts w:cs="Arial"/>
          <w:i/>
          <w:iCs/>
          <w:color w:val="000000" w:themeColor="text1"/>
          <w:lang w:val="en-US"/>
        </w:rPr>
        <w:t>Properties</w:t>
      </w:r>
      <w:r w:rsidR="00DD1F62" w:rsidRPr="00EC24F7">
        <w:rPr>
          <w:rFonts w:cs="Arial"/>
          <w:i/>
          <w:iCs/>
          <w:color w:val="000000" w:themeColor="text1"/>
          <w:lang w:val="en-US"/>
        </w:rPr>
        <w:t xml:space="preserve"> 1022 CC v Unlawful Occupiers of Erf 644 Kew and Another</w:t>
      </w:r>
      <w:r w:rsidR="00DD1F62" w:rsidRPr="00EC24F7">
        <w:rPr>
          <w:rFonts w:cs="Arial"/>
          <w:color w:val="000000" w:themeColor="text1"/>
          <w:lang w:val="en-US"/>
        </w:rPr>
        <w:t>.</w:t>
      </w:r>
      <w:r w:rsidR="00DD1F62" w:rsidRPr="00EC24F7">
        <w:rPr>
          <w:rStyle w:val="FootnoteReference"/>
          <w:rFonts w:cs="Arial"/>
          <w:color w:val="000000" w:themeColor="text1"/>
          <w:lang w:val="en-US"/>
        </w:rPr>
        <w:footnoteReference w:id="198"/>
      </w:r>
      <w:r w:rsidR="00180E98" w:rsidRPr="00EC24F7">
        <w:rPr>
          <w:rFonts w:cs="Arial"/>
          <w:color w:val="000000" w:themeColor="text1"/>
          <w:lang w:val="en-US"/>
        </w:rPr>
        <w:t xml:space="preserve"> is misplaced as that matter makes it clear that the City’s position is consistent with the relevant legal principles.</w:t>
      </w:r>
    </w:p>
    <w:p w14:paraId="1926E1A5" w14:textId="6CF6A77F" w:rsidR="003C5DD4" w:rsidRPr="00EC24F7" w:rsidRDefault="00D14A42" w:rsidP="00946540">
      <w:pPr>
        <w:numPr>
          <w:ilvl w:val="0"/>
          <w:numId w:val="2"/>
        </w:numPr>
        <w:snapToGrid w:val="0"/>
        <w:spacing w:before="120" w:after="360" w:line="480" w:lineRule="auto"/>
        <w:jc w:val="both"/>
        <w:rPr>
          <w:rFonts w:eastAsiaTheme="minorHAnsi" w:cs="Arial"/>
          <w:color w:val="2B2B2B"/>
          <w:lang w:val="en-GB"/>
        </w:rPr>
      </w:pPr>
      <w:r w:rsidRPr="00EC24F7">
        <w:rPr>
          <w:rFonts w:eastAsiaTheme="minorHAnsi" w:cs="Arial"/>
          <w:color w:val="2B2B2B"/>
          <w:lang w:val="en-GB"/>
        </w:rPr>
        <w:t xml:space="preserve">The </w:t>
      </w:r>
      <w:r w:rsidR="005053C5" w:rsidRPr="00EC24F7">
        <w:rPr>
          <w:rFonts w:eastAsiaTheme="minorHAnsi" w:cs="Arial"/>
          <w:color w:val="2B2B2B"/>
          <w:lang w:val="en-GB"/>
        </w:rPr>
        <w:t xml:space="preserve">EHP as contained in the </w:t>
      </w:r>
      <w:r w:rsidRPr="00EC24F7">
        <w:rPr>
          <w:rFonts w:eastAsiaTheme="minorHAnsi" w:cs="Arial"/>
          <w:color w:val="2B2B2B"/>
          <w:lang w:val="en-GB"/>
        </w:rPr>
        <w:t xml:space="preserve">Housing Code </w:t>
      </w:r>
      <w:r w:rsidR="007A426F" w:rsidRPr="00EC24F7">
        <w:rPr>
          <w:rFonts w:eastAsiaTheme="minorHAnsi" w:cs="Arial"/>
          <w:color w:val="2B2B2B"/>
          <w:lang w:val="en-GB"/>
        </w:rPr>
        <w:t xml:space="preserve">makes it clear that the </w:t>
      </w:r>
      <w:r w:rsidRPr="00EC24F7">
        <w:rPr>
          <w:rFonts w:cs="Arial"/>
          <w:lang w:val="en-GB"/>
        </w:rPr>
        <w:t xml:space="preserve">legal status of the unlawful occupiers is a relevant fact which is necessary to take into account for the purposes of a just and equitable enquiry concerning emergency </w:t>
      </w:r>
      <w:r w:rsidR="007A426F" w:rsidRPr="00EC24F7">
        <w:rPr>
          <w:rFonts w:cs="Arial"/>
          <w:lang w:val="en-GB"/>
        </w:rPr>
        <w:t>housing.</w:t>
      </w:r>
      <w:r w:rsidR="007A426F" w:rsidRPr="00EC24F7">
        <w:rPr>
          <w:rFonts w:eastAsiaTheme="minorHAnsi" w:cs="Arial"/>
          <w:color w:val="2B2B2B"/>
          <w:lang w:val="en-GB"/>
        </w:rPr>
        <w:t xml:space="preserve">  </w:t>
      </w:r>
      <w:r w:rsidRPr="00EC24F7">
        <w:rPr>
          <w:rFonts w:cs="Arial"/>
          <w:lang w:val="en-GB"/>
        </w:rPr>
        <w:t xml:space="preserve">The </w:t>
      </w:r>
      <w:r w:rsidR="005053C5" w:rsidRPr="00EC24F7">
        <w:rPr>
          <w:rFonts w:cs="Arial"/>
          <w:lang w:val="en-GB"/>
        </w:rPr>
        <w:t>EHP</w:t>
      </w:r>
      <w:r w:rsidRPr="00EC24F7">
        <w:rPr>
          <w:rFonts w:cs="Arial"/>
          <w:lang w:val="en-GB"/>
        </w:rPr>
        <w:t xml:space="preserve"> provides, however, that </w:t>
      </w:r>
      <w:r w:rsidRPr="00EC24F7">
        <w:rPr>
          <w:rFonts w:cs="Arial"/>
          <w:i/>
          <w:iCs/>
          <w:lang w:val="en-GB"/>
        </w:rPr>
        <w:t xml:space="preserve">‘illegal immigrants’ </w:t>
      </w:r>
      <w:r w:rsidRPr="00EC24F7">
        <w:rPr>
          <w:rFonts w:cs="Arial"/>
          <w:lang w:val="en-GB"/>
        </w:rPr>
        <w:t xml:space="preserve">are to be assisted on the conditions </w:t>
      </w:r>
      <w:r w:rsidRPr="00EC24F7">
        <w:rPr>
          <w:rFonts w:cs="Arial"/>
          <w:u w:val="single"/>
          <w:lang w:val="en-GB"/>
        </w:rPr>
        <w:t>prescribed</w:t>
      </w:r>
      <w:r w:rsidRPr="00EC24F7">
        <w:rPr>
          <w:rFonts w:cs="Arial"/>
          <w:lang w:val="en-GB"/>
        </w:rPr>
        <w:t xml:space="preserve"> by DHA on a case by case basis.</w:t>
      </w:r>
      <w:r w:rsidR="007A426F" w:rsidRPr="00EC24F7">
        <w:rPr>
          <w:rStyle w:val="FootnoteReference"/>
          <w:rFonts w:cs="Arial"/>
          <w:lang w:val="en-GB"/>
        </w:rPr>
        <w:footnoteReference w:id="199"/>
      </w:r>
      <w:r w:rsidR="00201010" w:rsidRPr="00EC24F7">
        <w:rPr>
          <w:rFonts w:eastAsiaTheme="minorHAnsi" w:cs="Arial"/>
          <w:color w:val="2B2B2B"/>
          <w:lang w:val="en-GB"/>
        </w:rPr>
        <w:t xml:space="preserve">  The EHP further provides that </w:t>
      </w:r>
      <w:r w:rsidR="00201010" w:rsidRPr="00EC24F7">
        <w:rPr>
          <w:rFonts w:cs="Arial"/>
          <w:lang w:val="en-GB"/>
        </w:rPr>
        <w:t>i</w:t>
      </w:r>
      <w:r w:rsidRPr="00EC24F7">
        <w:rPr>
          <w:rFonts w:cs="Arial"/>
          <w:lang w:val="en-GB"/>
        </w:rPr>
        <w:t xml:space="preserve">n implementing emergency housing interventions DHA has a role to play in an emergency housing situation involved with regard to addressing possible </w:t>
      </w:r>
      <w:r w:rsidRPr="00EC24F7">
        <w:rPr>
          <w:rFonts w:cs="Arial"/>
          <w:i/>
          <w:iCs/>
          <w:lang w:val="en-GB"/>
        </w:rPr>
        <w:t>‘illegal immigrants’</w:t>
      </w:r>
      <w:r w:rsidRPr="00EC24F7">
        <w:rPr>
          <w:rFonts w:cs="Arial"/>
          <w:lang w:val="en-GB"/>
        </w:rPr>
        <w:t>.</w:t>
      </w:r>
      <w:r w:rsidR="00FC5B92" w:rsidRPr="00EC24F7">
        <w:rPr>
          <w:rStyle w:val="FootnoteReference"/>
          <w:rFonts w:cs="Arial"/>
          <w:lang w:val="en-GB"/>
        </w:rPr>
        <w:t xml:space="preserve"> </w:t>
      </w:r>
      <w:r w:rsidR="00FC5B92" w:rsidRPr="00EC24F7">
        <w:rPr>
          <w:rStyle w:val="FootnoteReference"/>
          <w:rFonts w:cs="Arial"/>
          <w:lang w:val="en-GB"/>
        </w:rPr>
        <w:footnoteReference w:id="200"/>
      </w:r>
      <w:r w:rsidR="00FC5B92" w:rsidRPr="00EC24F7">
        <w:rPr>
          <w:rFonts w:cs="Arial"/>
          <w:lang w:val="en-GB"/>
        </w:rPr>
        <w:t xml:space="preserve">  In addition, the EHP provides that </w:t>
      </w:r>
      <w:r w:rsidR="00FC5B92" w:rsidRPr="00EC24F7">
        <w:rPr>
          <w:rFonts w:eastAsiaTheme="minorHAnsi" w:cs="Arial"/>
          <w:color w:val="2B2B2B"/>
          <w:lang w:val="en-GB"/>
        </w:rPr>
        <w:t>w</w:t>
      </w:r>
      <w:r w:rsidRPr="00EC24F7">
        <w:rPr>
          <w:rFonts w:cs="Arial"/>
          <w:lang w:val="en-GB"/>
        </w:rPr>
        <w:t xml:space="preserve">here a </w:t>
      </w:r>
      <w:r w:rsidRPr="00EC24F7">
        <w:rPr>
          <w:rFonts w:cs="Arial"/>
          <w:lang w:val="en-GB"/>
        </w:rPr>
        <w:lastRenderedPageBreak/>
        <w:t>municipality submits an application for funding assistance for emergency housing, a community profile covering the broad demographics and situation of the persons affected</w:t>
      </w:r>
      <w:r w:rsidR="00164502" w:rsidRPr="00EC24F7">
        <w:rPr>
          <w:rFonts w:cs="Arial"/>
          <w:lang w:val="en-GB"/>
        </w:rPr>
        <w:t xml:space="preserve"> must be provided</w:t>
      </w:r>
      <w:r w:rsidRPr="00EC24F7">
        <w:rPr>
          <w:rFonts w:cs="Arial"/>
          <w:lang w:val="en-GB"/>
        </w:rPr>
        <w:t xml:space="preserve">, including the situation with regard to the presence of </w:t>
      </w:r>
      <w:r w:rsidRPr="00EC24F7">
        <w:rPr>
          <w:rFonts w:cs="Arial"/>
          <w:i/>
          <w:iCs/>
          <w:lang w:val="en-GB"/>
        </w:rPr>
        <w:t xml:space="preserve">‘illegal immigrants’ </w:t>
      </w:r>
      <w:r w:rsidRPr="00EC24F7">
        <w:rPr>
          <w:rFonts w:cs="Arial"/>
          <w:lang w:val="en-GB"/>
        </w:rPr>
        <w:t>and non-subsidy qualifying beneficiaries</w:t>
      </w:r>
      <w:r w:rsidR="0031222E" w:rsidRPr="00EC24F7">
        <w:rPr>
          <w:rFonts w:cs="Arial"/>
          <w:lang w:val="en-GB"/>
        </w:rPr>
        <w:t>,</w:t>
      </w:r>
      <w:r w:rsidR="00164502" w:rsidRPr="00EC24F7">
        <w:rPr>
          <w:rStyle w:val="FootnoteReference"/>
          <w:rFonts w:cs="Arial"/>
          <w:lang w:val="en-GB"/>
        </w:rPr>
        <w:footnoteReference w:id="201"/>
      </w:r>
      <w:r w:rsidR="0031222E" w:rsidRPr="00EC24F7">
        <w:rPr>
          <w:rFonts w:cs="Arial"/>
          <w:lang w:val="en-GB"/>
        </w:rPr>
        <w:t xml:space="preserve"> and </w:t>
      </w:r>
      <w:r w:rsidR="0031222E" w:rsidRPr="00EC24F7">
        <w:rPr>
          <w:rFonts w:eastAsiaTheme="minorHAnsi" w:cs="Arial"/>
          <w:color w:val="2B2B2B"/>
          <w:lang w:val="en-GB"/>
        </w:rPr>
        <w:t>i</w:t>
      </w:r>
      <w:r w:rsidRPr="00EC24F7">
        <w:rPr>
          <w:rFonts w:cs="Arial"/>
          <w:lang w:val="en-GB"/>
        </w:rPr>
        <w:t>f during the survey and registration process it is established that</w:t>
      </w:r>
      <w:r w:rsidRPr="00EC24F7">
        <w:rPr>
          <w:rFonts w:cs="Arial"/>
          <w:i/>
          <w:iCs/>
          <w:lang w:val="en-GB"/>
        </w:rPr>
        <w:t xml:space="preserve"> ‘illegal immigrants’</w:t>
      </w:r>
      <w:r w:rsidRPr="00EC24F7">
        <w:rPr>
          <w:rFonts w:cs="Arial"/>
          <w:lang w:val="en-GB"/>
        </w:rPr>
        <w:t xml:space="preserve"> appear to be present, DHA must be contacted to implement procedures necessary to address this situation.</w:t>
      </w:r>
      <w:r w:rsidR="0031222E" w:rsidRPr="00EC24F7">
        <w:rPr>
          <w:rStyle w:val="FootnoteReference"/>
          <w:rFonts w:cs="Arial"/>
          <w:lang w:val="en-GB"/>
        </w:rPr>
        <w:footnoteReference w:id="202"/>
      </w:r>
      <w:r w:rsidR="00946540" w:rsidRPr="00EC24F7">
        <w:rPr>
          <w:rFonts w:eastAsiaTheme="minorHAnsi" w:cs="Arial"/>
          <w:color w:val="2B2B2B"/>
          <w:lang w:val="en-GB"/>
        </w:rPr>
        <w:t xml:space="preserve">  </w:t>
      </w:r>
    </w:p>
    <w:p w14:paraId="52D2947A" w14:textId="77777777" w:rsidR="00144DB6" w:rsidRDefault="00946540" w:rsidP="00096F2F">
      <w:pPr>
        <w:numPr>
          <w:ilvl w:val="0"/>
          <w:numId w:val="2"/>
        </w:numPr>
        <w:snapToGrid w:val="0"/>
        <w:spacing w:before="120" w:after="360" w:line="480" w:lineRule="auto"/>
        <w:jc w:val="both"/>
        <w:rPr>
          <w:rFonts w:eastAsiaTheme="minorHAnsi" w:cs="Arial"/>
          <w:color w:val="2B2B2B"/>
          <w:lang w:val="en-GB"/>
        </w:rPr>
      </w:pPr>
      <w:r w:rsidRPr="00EC24F7">
        <w:rPr>
          <w:rFonts w:cs="Arial"/>
          <w:color w:val="000000"/>
          <w:lang w:val="en-GB"/>
        </w:rPr>
        <w:t>Consequently</w:t>
      </w:r>
      <w:r w:rsidR="000861DE" w:rsidRPr="00EC24F7">
        <w:rPr>
          <w:rFonts w:cs="Arial"/>
          <w:color w:val="000000"/>
          <w:lang w:val="en-GB"/>
        </w:rPr>
        <w:t>,</w:t>
      </w:r>
      <w:r w:rsidRPr="00EC24F7">
        <w:rPr>
          <w:rFonts w:cs="Arial"/>
          <w:color w:val="000000"/>
          <w:lang w:val="en-GB"/>
        </w:rPr>
        <w:t xml:space="preserve"> the Housing Code and in particular the EHP makes it clear</w:t>
      </w:r>
      <w:r w:rsidR="00D14A42" w:rsidRPr="00EC24F7">
        <w:rPr>
          <w:rFonts w:cs="Arial"/>
          <w:lang w:val="en-GB"/>
        </w:rPr>
        <w:t xml:space="preserve"> that </w:t>
      </w:r>
      <w:r w:rsidR="00D14A42" w:rsidRPr="00EC24F7">
        <w:rPr>
          <w:rFonts w:cs="Arial"/>
          <w:color w:val="000000"/>
          <w:lang w:val="en-GB"/>
        </w:rPr>
        <w:t xml:space="preserve">the manner in which </w:t>
      </w:r>
      <w:r w:rsidR="00D14A42" w:rsidRPr="00EC24F7">
        <w:rPr>
          <w:rFonts w:cs="Arial"/>
          <w:lang w:val="en-GB"/>
        </w:rPr>
        <w:t>undocumented foreign nationals</w:t>
      </w:r>
      <w:r w:rsidR="00D14A42" w:rsidRPr="00EC24F7">
        <w:rPr>
          <w:rFonts w:cs="Arial"/>
          <w:color w:val="000000"/>
          <w:lang w:val="en-GB"/>
        </w:rPr>
        <w:t xml:space="preserve"> fall to be treated in an eviction falls </w:t>
      </w:r>
      <w:r w:rsidR="00144DB6">
        <w:rPr>
          <w:rFonts w:cs="Arial"/>
          <w:color w:val="000000"/>
          <w:lang w:val="en-GB"/>
        </w:rPr>
        <w:t>within</w:t>
      </w:r>
      <w:r w:rsidR="00D14A42" w:rsidRPr="00EC24F7">
        <w:rPr>
          <w:rFonts w:cs="Arial"/>
          <w:color w:val="000000"/>
          <w:lang w:val="en-GB"/>
        </w:rPr>
        <w:t xml:space="preserve"> the remit of DHA</w:t>
      </w:r>
      <w:r w:rsidRPr="00EC24F7">
        <w:rPr>
          <w:rFonts w:cs="Arial"/>
          <w:color w:val="000000"/>
          <w:lang w:val="en-GB"/>
        </w:rPr>
        <w:t>.</w:t>
      </w:r>
      <w:r w:rsidR="00094AFE" w:rsidRPr="00EC24F7">
        <w:rPr>
          <w:rFonts w:eastAsiaTheme="minorHAnsi" w:cs="Arial"/>
          <w:color w:val="2B2B2B"/>
          <w:lang w:val="en-GB"/>
        </w:rPr>
        <w:t xml:space="preserve">  This is consonant with and respects the provisions of the Immigration Act</w:t>
      </w:r>
      <w:r w:rsidR="00096F2F" w:rsidRPr="00EC24F7">
        <w:rPr>
          <w:rFonts w:eastAsiaTheme="minorHAnsi" w:cs="Arial"/>
          <w:color w:val="2B2B2B"/>
          <w:lang w:val="en-GB"/>
        </w:rPr>
        <w:t xml:space="preserve">.  </w:t>
      </w:r>
    </w:p>
    <w:p w14:paraId="51333746" w14:textId="2457AE9D" w:rsidR="00096F2F" w:rsidRPr="00EC24F7" w:rsidRDefault="00096F2F" w:rsidP="00096F2F">
      <w:pPr>
        <w:numPr>
          <w:ilvl w:val="0"/>
          <w:numId w:val="2"/>
        </w:numPr>
        <w:snapToGrid w:val="0"/>
        <w:spacing w:before="120" w:after="360" w:line="480" w:lineRule="auto"/>
        <w:jc w:val="both"/>
        <w:rPr>
          <w:rFonts w:eastAsiaTheme="minorHAnsi" w:cs="Arial"/>
          <w:color w:val="2B2B2B"/>
          <w:lang w:val="en-GB"/>
        </w:rPr>
      </w:pPr>
      <w:r w:rsidRPr="00EC24F7">
        <w:rPr>
          <w:rFonts w:eastAsiaTheme="minorHAnsi" w:cs="Arial"/>
          <w:color w:val="2B2B2B"/>
          <w:lang w:val="en-GB"/>
        </w:rPr>
        <w:t xml:space="preserve">The Immigration Act defines an </w:t>
      </w:r>
      <w:r w:rsidRPr="00EC24F7">
        <w:rPr>
          <w:rStyle w:val="ssbf"/>
          <w:rFonts w:cs="Arial"/>
        </w:rPr>
        <w:t>illegal foreigner</w:t>
      </w:r>
      <w:r w:rsidRPr="00EC24F7">
        <w:rPr>
          <w:rStyle w:val="ssparacontent"/>
          <w:rFonts w:cs="Arial"/>
        </w:rPr>
        <w:t xml:space="preserve"> a</w:t>
      </w:r>
      <w:r w:rsidRPr="00EC24F7">
        <w:rPr>
          <w:rStyle w:val="ssparacontent"/>
          <w:rFonts w:cs="Arial"/>
        </w:rPr>
        <w:t>s</w:t>
      </w:r>
      <w:r w:rsidRPr="00EC24F7">
        <w:rPr>
          <w:rStyle w:val="ssparacontent"/>
          <w:rFonts w:cs="Arial"/>
        </w:rPr>
        <w:t xml:space="preserve"> foreigner who is in the </w:t>
      </w:r>
      <w:r w:rsidRPr="00EC24F7">
        <w:rPr>
          <w:rStyle w:val="ssparacontent"/>
          <w:rFonts w:cs="Arial"/>
        </w:rPr>
        <w:t>country</w:t>
      </w:r>
      <w:r w:rsidRPr="00EC24F7">
        <w:rPr>
          <w:rStyle w:val="ssparacontent"/>
          <w:rFonts w:cs="Arial"/>
        </w:rPr>
        <w:t xml:space="preserve"> in contravention of th</w:t>
      </w:r>
      <w:r w:rsidRPr="00EC24F7">
        <w:rPr>
          <w:rStyle w:val="ssparacontent"/>
          <w:rFonts w:cs="Arial"/>
        </w:rPr>
        <w:t xml:space="preserve">e Immigration Act. </w:t>
      </w:r>
      <w:r w:rsidR="000C0DEC" w:rsidRPr="00EC24F7">
        <w:rPr>
          <w:rStyle w:val="ssparacontent"/>
          <w:rFonts w:cs="Arial"/>
        </w:rPr>
        <w:t xml:space="preserve"> A foreign national may not enter or remain in the country unless they hold a lawful visa or permanent residence permit</w:t>
      </w:r>
      <w:r w:rsidR="002410A0" w:rsidRPr="00EC24F7">
        <w:rPr>
          <w:rStyle w:val="ssparacontent"/>
          <w:rFonts w:cs="Arial"/>
        </w:rPr>
        <w:t>, failing which they must depart from the country unless they have authorisation to remain pending an application for a status.</w:t>
      </w:r>
      <w:r w:rsidR="002410A0" w:rsidRPr="00EC24F7">
        <w:rPr>
          <w:rStyle w:val="FootnoteReference"/>
          <w:rFonts w:cs="Arial"/>
        </w:rPr>
        <w:footnoteReference w:id="203"/>
      </w:r>
      <w:r w:rsidR="00B57B00" w:rsidRPr="00EC24F7">
        <w:rPr>
          <w:rStyle w:val="ssparacontent"/>
          <w:rFonts w:cs="Arial"/>
        </w:rPr>
        <w:t xml:space="preserve">  However, persons who have applied for asylum are </w:t>
      </w:r>
      <w:r w:rsidR="006669A9" w:rsidRPr="00EC24F7">
        <w:rPr>
          <w:rStyle w:val="ssparacontent"/>
          <w:rFonts w:cs="Arial"/>
        </w:rPr>
        <w:t>entitled</w:t>
      </w:r>
      <w:r w:rsidR="00B57B00" w:rsidRPr="00EC24F7">
        <w:rPr>
          <w:rStyle w:val="ssparacontent"/>
          <w:rFonts w:cs="Arial"/>
        </w:rPr>
        <w:t xml:space="preserve"> to remain in the country </w:t>
      </w:r>
      <w:r w:rsidR="006669A9" w:rsidRPr="00EC24F7">
        <w:rPr>
          <w:rStyle w:val="ssparacontent"/>
          <w:rFonts w:cs="Arial"/>
        </w:rPr>
        <w:t>lawfully until their applications have been finally determined.</w:t>
      </w:r>
      <w:r w:rsidR="006669A9" w:rsidRPr="00EC24F7">
        <w:rPr>
          <w:rStyle w:val="FootnoteReference"/>
          <w:rFonts w:cs="Arial"/>
        </w:rPr>
        <w:footnoteReference w:id="204"/>
      </w:r>
    </w:p>
    <w:p w14:paraId="7EB82F37" w14:textId="652BD545" w:rsidR="00C31BA6" w:rsidRPr="00EC24F7" w:rsidRDefault="00C31BA6" w:rsidP="00C31BA6">
      <w:pPr>
        <w:pStyle w:val="ListParagraph"/>
        <w:numPr>
          <w:ilvl w:val="0"/>
          <w:numId w:val="2"/>
        </w:numPr>
        <w:spacing w:before="120" w:beforeAutospacing="0" w:after="240" w:afterAutospacing="0" w:line="480" w:lineRule="auto"/>
        <w:jc w:val="both"/>
        <w:rPr>
          <w:rFonts w:eastAsia="Arial Unicode MS" w:cs="Arial"/>
          <w:color w:val="000000" w:themeColor="text1"/>
        </w:rPr>
      </w:pPr>
      <w:r w:rsidRPr="00EC24F7">
        <w:rPr>
          <w:rFonts w:eastAsia="Arial Unicode MS" w:cs="Arial"/>
          <w:color w:val="000000" w:themeColor="text1"/>
        </w:rPr>
        <w:lastRenderedPageBreak/>
        <w:t>Consequently</w:t>
      </w:r>
      <w:r w:rsidR="00922809" w:rsidRPr="00EC24F7">
        <w:rPr>
          <w:rFonts w:eastAsia="Arial Unicode MS" w:cs="Arial"/>
          <w:color w:val="000000" w:themeColor="text1"/>
        </w:rPr>
        <w:t xml:space="preserve">, </w:t>
      </w:r>
      <w:r w:rsidRPr="00EC24F7">
        <w:rPr>
          <w:rFonts w:eastAsia="Arial Unicode MS" w:cs="Arial"/>
          <w:color w:val="000000" w:themeColor="text1"/>
        </w:rPr>
        <w:t>as matter of law, a foreign national who does not hold some form of authorisation either in terms of the Immigration Act</w:t>
      </w:r>
      <w:r w:rsidR="00D13396" w:rsidRPr="00EC24F7">
        <w:rPr>
          <w:rStyle w:val="FootnoteReference"/>
          <w:rFonts w:cs="Arial"/>
          <w:lang w:val="en-GB"/>
        </w:rPr>
        <w:footnoteReference w:id="205"/>
      </w:r>
      <w:r w:rsidRPr="00EC24F7">
        <w:rPr>
          <w:rFonts w:eastAsia="Arial Unicode MS" w:cs="Arial"/>
          <w:color w:val="000000" w:themeColor="text1"/>
        </w:rPr>
        <w:t xml:space="preserve"> or the Refugees Act has no legal entitlement to remain in the country and </w:t>
      </w:r>
      <w:r w:rsidRPr="00EC24F7">
        <w:rPr>
          <w:rFonts w:cs="Arial"/>
          <w:lang w:val="en-GB"/>
        </w:rPr>
        <w:t xml:space="preserve">falls to be detained, arrested and/or deported </w:t>
      </w:r>
      <w:r w:rsidRPr="00EC24F7">
        <w:rPr>
          <w:rFonts w:cs="Arial"/>
          <w:lang w:val="en-GB"/>
        </w:rPr>
        <w:t>unless they are in the process of regularising</w:t>
      </w:r>
      <w:r w:rsidRPr="00EC24F7">
        <w:rPr>
          <w:rFonts w:cs="Arial"/>
          <w:lang w:val="en-GB"/>
        </w:rPr>
        <w:t xml:space="preserve"> their status</w:t>
      </w:r>
      <w:r w:rsidRPr="00EC24F7">
        <w:rPr>
          <w:rFonts w:cs="Arial"/>
          <w:lang w:val="en-GB"/>
        </w:rPr>
        <w:t xml:space="preserve"> in which case they would be in possession of the relevant documents issue</w:t>
      </w:r>
      <w:r w:rsidR="00887B17" w:rsidRPr="00EC24F7">
        <w:rPr>
          <w:rFonts w:cs="Arial"/>
          <w:lang w:val="en-GB"/>
        </w:rPr>
        <w:t>d</w:t>
      </w:r>
      <w:r w:rsidRPr="00EC24F7">
        <w:rPr>
          <w:rFonts w:cs="Arial"/>
          <w:lang w:val="en-GB"/>
        </w:rPr>
        <w:t xml:space="preserve"> by DHA.</w:t>
      </w:r>
    </w:p>
    <w:p w14:paraId="1C283290" w14:textId="44DB4224" w:rsidR="00B84AB7" w:rsidRPr="00EC24F7" w:rsidRDefault="00B84AB7" w:rsidP="00A220EA">
      <w:pPr>
        <w:numPr>
          <w:ilvl w:val="0"/>
          <w:numId w:val="2"/>
        </w:numPr>
        <w:snapToGrid w:val="0"/>
        <w:spacing w:before="120" w:after="360" w:line="480" w:lineRule="auto"/>
        <w:jc w:val="both"/>
        <w:rPr>
          <w:rFonts w:eastAsiaTheme="minorHAnsi" w:cs="Arial"/>
          <w:color w:val="2B2B2B"/>
          <w:lang w:val="en-GB"/>
        </w:rPr>
      </w:pPr>
      <w:r w:rsidRPr="00EC24F7">
        <w:rPr>
          <w:rFonts w:eastAsiaTheme="minorHAnsi" w:cs="Arial"/>
          <w:color w:val="2B2B2B"/>
          <w:lang w:val="en-GB"/>
        </w:rPr>
        <w:t xml:space="preserve">To be clear </w:t>
      </w:r>
      <w:r w:rsidR="00D7420F" w:rsidRPr="00EC24F7">
        <w:rPr>
          <w:rFonts w:eastAsiaTheme="minorHAnsi" w:cs="Arial"/>
          <w:color w:val="2B2B2B"/>
          <w:lang w:val="en-GB"/>
        </w:rPr>
        <w:t xml:space="preserve">the City’s position is that </w:t>
      </w:r>
      <w:r w:rsidR="00D7420F" w:rsidRPr="00EC24F7">
        <w:rPr>
          <w:rFonts w:cs="Arial"/>
          <w:lang w:val="en-GB"/>
        </w:rPr>
        <w:t xml:space="preserve">a foreign national </w:t>
      </w:r>
      <w:r w:rsidR="00D7420F" w:rsidRPr="00EC24F7">
        <w:rPr>
          <w:rFonts w:cs="Arial"/>
          <w:lang w:val="en-GB"/>
        </w:rPr>
        <w:t xml:space="preserve">who </w:t>
      </w:r>
      <w:r w:rsidR="00D7420F" w:rsidRPr="00EC24F7">
        <w:rPr>
          <w:rFonts w:cs="Arial"/>
          <w:lang w:val="en-GB"/>
        </w:rPr>
        <w:t>has some lawful entitlement to remain in the country</w:t>
      </w:r>
      <w:r w:rsidR="00DC44E9" w:rsidRPr="00EC24F7">
        <w:rPr>
          <w:rFonts w:cs="Arial"/>
          <w:lang w:val="en-GB"/>
        </w:rPr>
        <w:t xml:space="preserve"> which would include th</w:t>
      </w:r>
      <w:r w:rsidR="00F06FC2" w:rsidRPr="00EC24F7">
        <w:rPr>
          <w:rFonts w:cs="Arial"/>
          <w:lang w:val="en-GB"/>
        </w:rPr>
        <w:t xml:space="preserve">ose who hold visas or asylum seeker permits or some other form of authorisation issued by DHA that entitles them to remain the country are </w:t>
      </w:r>
      <w:r w:rsidR="00340BA5" w:rsidRPr="00EC24F7">
        <w:rPr>
          <w:rFonts w:cs="Arial"/>
          <w:lang w:val="en-GB"/>
        </w:rPr>
        <w:t xml:space="preserve">entitled to emergency housing as a matter of principle </w:t>
      </w:r>
      <w:r w:rsidR="005B2E56">
        <w:rPr>
          <w:rFonts w:cs="Arial"/>
          <w:lang w:val="en-GB"/>
        </w:rPr>
        <w:t>subject to</w:t>
      </w:r>
      <w:r w:rsidR="00340BA5" w:rsidRPr="00EC24F7">
        <w:rPr>
          <w:rFonts w:cs="Arial"/>
          <w:lang w:val="en-GB"/>
        </w:rPr>
        <w:t xml:space="preserve"> the </w:t>
      </w:r>
      <w:r w:rsidR="005B2E56">
        <w:rPr>
          <w:rFonts w:cs="Arial"/>
          <w:lang w:val="en-GB"/>
        </w:rPr>
        <w:t>C</w:t>
      </w:r>
      <w:r w:rsidR="00340BA5" w:rsidRPr="00EC24F7">
        <w:rPr>
          <w:rFonts w:cs="Arial"/>
          <w:lang w:val="en-GB"/>
        </w:rPr>
        <w:t>ourt find</w:t>
      </w:r>
      <w:r w:rsidR="005B2E56">
        <w:rPr>
          <w:rFonts w:cs="Arial"/>
          <w:lang w:val="en-GB"/>
        </w:rPr>
        <w:t>ing</w:t>
      </w:r>
      <w:r w:rsidR="00340BA5" w:rsidRPr="00EC24F7">
        <w:rPr>
          <w:rFonts w:cs="Arial"/>
          <w:lang w:val="en-GB"/>
        </w:rPr>
        <w:t xml:space="preserve"> that it is just and equitable </w:t>
      </w:r>
      <w:r w:rsidR="001711FD">
        <w:rPr>
          <w:rFonts w:cs="Arial"/>
          <w:lang w:val="en-GB"/>
        </w:rPr>
        <w:t xml:space="preserve">to do so </w:t>
      </w:r>
      <w:r w:rsidR="00340BA5" w:rsidRPr="00EC24F7">
        <w:rPr>
          <w:rFonts w:cs="Arial"/>
          <w:lang w:val="en-GB"/>
        </w:rPr>
        <w:t>based on thei</w:t>
      </w:r>
      <w:r w:rsidR="001711FD">
        <w:rPr>
          <w:rFonts w:cs="Arial"/>
          <w:lang w:val="en-GB"/>
        </w:rPr>
        <w:t>r</w:t>
      </w:r>
      <w:r w:rsidR="00340BA5" w:rsidRPr="00EC24F7">
        <w:rPr>
          <w:rFonts w:cs="Arial"/>
          <w:lang w:val="en-GB"/>
        </w:rPr>
        <w:t xml:space="preserve"> particular personal circumstances</w:t>
      </w:r>
      <w:r w:rsidR="00C31679" w:rsidRPr="00EC24F7">
        <w:rPr>
          <w:rFonts w:cs="Arial"/>
          <w:lang w:val="en-GB"/>
        </w:rPr>
        <w:t xml:space="preserve">.  </w:t>
      </w:r>
    </w:p>
    <w:p w14:paraId="44A6ACBC" w14:textId="2AA1538D" w:rsidR="00340BA5" w:rsidRPr="00EC24F7" w:rsidRDefault="00340BA5" w:rsidP="00340BA5">
      <w:pPr>
        <w:numPr>
          <w:ilvl w:val="0"/>
          <w:numId w:val="2"/>
        </w:numPr>
        <w:snapToGrid w:val="0"/>
        <w:spacing w:before="120" w:after="360" w:line="480" w:lineRule="auto"/>
        <w:jc w:val="both"/>
        <w:rPr>
          <w:rFonts w:eastAsiaTheme="minorHAnsi" w:cs="Arial"/>
          <w:color w:val="2B2B2B"/>
          <w:lang w:val="en-GB"/>
        </w:rPr>
      </w:pPr>
      <w:r w:rsidRPr="00EC24F7">
        <w:rPr>
          <w:rFonts w:eastAsiaTheme="minorHAnsi" w:cs="Arial"/>
          <w:color w:val="2B2B2B"/>
          <w:lang w:val="en-GB"/>
        </w:rPr>
        <w:t>There is</w:t>
      </w:r>
      <w:r w:rsidRPr="00EC24F7">
        <w:rPr>
          <w:rFonts w:eastAsiaTheme="minorHAnsi" w:cs="Arial"/>
          <w:color w:val="2B2B2B"/>
          <w:lang w:val="en-GB"/>
        </w:rPr>
        <w:t>, however,</w:t>
      </w:r>
      <w:r w:rsidRPr="00EC24F7">
        <w:rPr>
          <w:rFonts w:eastAsiaTheme="minorHAnsi" w:cs="Arial"/>
          <w:color w:val="2B2B2B"/>
          <w:lang w:val="en-GB"/>
        </w:rPr>
        <w:t xml:space="preserve"> no legal basis whatsoever to contend that a foreign national who has absolutely no entitlement to be or remain in the country is entitled to emergency housing assistance from the State.  Any suggestion to the contrary flies in the face of the rule of law.  </w:t>
      </w:r>
      <w:r w:rsidR="00C31679" w:rsidRPr="00EC24F7">
        <w:rPr>
          <w:rFonts w:eastAsiaTheme="minorHAnsi" w:cs="Arial"/>
          <w:color w:val="2B2B2B"/>
          <w:lang w:val="en-GB"/>
        </w:rPr>
        <w:t>Moreover, the EHP expressly requires directions in relation to such persons to be given by DHA.  In circumstances where there is no challenge to the relevant provisions of the EHP there is no basis to depart from its provisions which are presumptively lawful</w:t>
      </w:r>
      <w:r w:rsidR="00BB5D0E">
        <w:rPr>
          <w:rFonts w:eastAsiaTheme="minorHAnsi" w:cs="Arial"/>
          <w:color w:val="2B2B2B"/>
          <w:lang w:val="en-GB"/>
        </w:rPr>
        <w:t>.</w:t>
      </w:r>
    </w:p>
    <w:p w14:paraId="5BB49CE9" w14:textId="204C5935" w:rsidR="00DE0F52" w:rsidRPr="00BB5D0E" w:rsidRDefault="00D14A42" w:rsidP="00BB5D0E">
      <w:pPr>
        <w:numPr>
          <w:ilvl w:val="0"/>
          <w:numId w:val="2"/>
        </w:numPr>
        <w:snapToGrid w:val="0"/>
        <w:spacing w:before="120" w:after="360" w:line="480" w:lineRule="auto"/>
        <w:jc w:val="both"/>
        <w:rPr>
          <w:rFonts w:cs="Arial"/>
          <w:lang w:val="en-GB"/>
        </w:rPr>
      </w:pPr>
      <w:r w:rsidRPr="00EC24F7">
        <w:rPr>
          <w:rFonts w:cs="Arial"/>
          <w:color w:val="000000"/>
          <w:lang w:val="en-GB"/>
        </w:rPr>
        <w:t xml:space="preserve">The decision in </w:t>
      </w:r>
      <w:r w:rsidRPr="00EC24F7">
        <w:rPr>
          <w:rFonts w:cs="Arial"/>
          <w:i/>
          <w:iCs/>
          <w:color w:val="000000"/>
          <w:lang w:val="en-GB"/>
        </w:rPr>
        <w:t xml:space="preserve">Chapelgate </w:t>
      </w:r>
      <w:r w:rsidR="00C31679" w:rsidRPr="00EC24F7">
        <w:rPr>
          <w:rFonts w:cs="Arial"/>
          <w:color w:val="000000"/>
          <w:lang w:val="en-GB"/>
        </w:rPr>
        <w:t xml:space="preserve">does not, as Transnet suggests in its heads of argument </w:t>
      </w:r>
      <w:r w:rsidR="00BB5D0E">
        <w:rPr>
          <w:rFonts w:cs="Arial"/>
          <w:color w:val="000000"/>
          <w:lang w:val="en-GB"/>
        </w:rPr>
        <w:t>,</w:t>
      </w:r>
      <w:r w:rsidR="00C31679" w:rsidRPr="00EC24F7">
        <w:rPr>
          <w:rFonts w:cs="Arial"/>
          <w:color w:val="000000"/>
          <w:lang w:val="en-GB"/>
        </w:rPr>
        <w:t xml:space="preserve">establish </w:t>
      </w:r>
      <w:r w:rsidR="00032510" w:rsidRPr="00EC24F7">
        <w:rPr>
          <w:rFonts w:cs="Arial"/>
          <w:color w:val="000000"/>
          <w:lang w:val="en-GB"/>
        </w:rPr>
        <w:t xml:space="preserve">a principle that illegal foreigners are without more entitled to emergency housing </w:t>
      </w:r>
      <w:r w:rsidR="00864DBD" w:rsidRPr="00EC24F7">
        <w:rPr>
          <w:rFonts w:cs="Arial"/>
          <w:color w:val="000000"/>
          <w:lang w:val="en-GB"/>
        </w:rPr>
        <w:t>(</w:t>
      </w:r>
      <w:r w:rsidR="00032510" w:rsidRPr="00EC24F7">
        <w:rPr>
          <w:rFonts w:cs="Arial"/>
          <w:color w:val="000000"/>
          <w:lang w:val="en-GB"/>
        </w:rPr>
        <w:t xml:space="preserve">and if it did establish such a principle, the decision would be </w:t>
      </w:r>
      <w:r w:rsidR="00032510" w:rsidRPr="00EC24F7">
        <w:rPr>
          <w:rFonts w:cs="Arial"/>
          <w:color w:val="000000"/>
          <w:lang w:val="en-GB"/>
        </w:rPr>
        <w:lastRenderedPageBreak/>
        <w:t>clearly wrong</w:t>
      </w:r>
      <w:r w:rsidR="00864DBD" w:rsidRPr="00EC24F7">
        <w:rPr>
          <w:rFonts w:cs="Arial"/>
          <w:color w:val="000000"/>
          <w:lang w:val="en-GB"/>
        </w:rPr>
        <w:t>)</w:t>
      </w:r>
      <w:r w:rsidR="00032510" w:rsidRPr="00EC24F7">
        <w:rPr>
          <w:rFonts w:cs="Arial"/>
          <w:color w:val="000000"/>
          <w:lang w:val="en-GB"/>
        </w:rPr>
        <w:t>.</w:t>
      </w:r>
      <w:r w:rsidR="00BB5D0E">
        <w:rPr>
          <w:rFonts w:cs="Arial"/>
          <w:lang w:val="en-GB"/>
        </w:rPr>
        <w:t xml:space="preserve">  </w:t>
      </w:r>
      <w:r w:rsidR="00C56194" w:rsidRPr="00BB5D0E">
        <w:rPr>
          <w:rFonts w:cs="Arial"/>
          <w:color w:val="000000"/>
          <w:lang w:val="en-GB"/>
        </w:rPr>
        <w:t xml:space="preserve">The decision in </w:t>
      </w:r>
      <w:r w:rsidR="00C56194" w:rsidRPr="00BB5D0E">
        <w:rPr>
          <w:rFonts w:cs="Arial"/>
          <w:i/>
          <w:iCs/>
          <w:color w:val="000000"/>
          <w:lang w:val="en-GB"/>
        </w:rPr>
        <w:t xml:space="preserve">Chapelgate </w:t>
      </w:r>
      <w:r w:rsidR="00C56194" w:rsidRPr="00BB5D0E">
        <w:rPr>
          <w:rFonts w:cs="Arial"/>
          <w:color w:val="000000"/>
          <w:lang w:val="en-GB"/>
        </w:rPr>
        <w:t xml:space="preserve"> makes it clear that the entitlement of </w:t>
      </w:r>
      <w:r w:rsidR="002F21F1">
        <w:rPr>
          <w:rFonts w:cs="Arial"/>
          <w:color w:val="000000"/>
          <w:lang w:val="en-GB"/>
        </w:rPr>
        <w:t>undocumented or illegal foreign nationals</w:t>
      </w:r>
      <w:r w:rsidR="00864DBD" w:rsidRPr="00BB5D0E">
        <w:rPr>
          <w:rFonts w:cs="Arial"/>
        </w:rPr>
        <w:t xml:space="preserve"> </w:t>
      </w:r>
      <w:r w:rsidR="00C56194" w:rsidRPr="00BB5D0E">
        <w:rPr>
          <w:rFonts w:cs="Arial"/>
        </w:rPr>
        <w:t>to</w:t>
      </w:r>
      <w:r w:rsidR="00C56194" w:rsidRPr="00BB5D0E">
        <w:rPr>
          <w:rStyle w:val="mc"/>
          <w:rFonts w:cs="Arial"/>
        </w:rPr>
        <w:t xml:space="preserve"> </w:t>
      </w:r>
      <w:r w:rsidR="00864DBD" w:rsidRPr="00BB5D0E">
        <w:rPr>
          <w:rFonts w:cs="Arial"/>
        </w:rPr>
        <w:t xml:space="preserve">emergency </w:t>
      </w:r>
      <w:r w:rsidR="00C56194" w:rsidRPr="00BB5D0E">
        <w:rPr>
          <w:rFonts w:cs="Arial"/>
        </w:rPr>
        <w:t>housing</w:t>
      </w:r>
      <w:r w:rsidR="00864DBD" w:rsidRPr="00BB5D0E">
        <w:rPr>
          <w:rFonts w:cs="Arial"/>
        </w:rPr>
        <w:t xml:space="preserve"> </w:t>
      </w:r>
      <w:r w:rsidR="00C56194" w:rsidRPr="00BB5D0E">
        <w:rPr>
          <w:rFonts w:cs="Arial"/>
        </w:rPr>
        <w:t>is</w:t>
      </w:r>
      <w:r w:rsidR="00864DBD" w:rsidRPr="00BB5D0E">
        <w:rPr>
          <w:rFonts w:cs="Arial"/>
        </w:rPr>
        <w:t xml:space="preserve"> made contingent on the illegal foreigners regularising their status</w:t>
      </w:r>
      <w:r w:rsidR="00C56194" w:rsidRPr="00BB5D0E">
        <w:rPr>
          <w:rFonts w:cs="Arial"/>
        </w:rPr>
        <w:t>.</w:t>
      </w:r>
      <w:r w:rsidR="00373AF8" w:rsidRPr="00EC24F7">
        <w:rPr>
          <w:rStyle w:val="FootnoteReference"/>
          <w:rFonts w:cs="Arial"/>
        </w:rPr>
        <w:footnoteReference w:id="206"/>
      </w:r>
      <w:r w:rsidR="0041556C" w:rsidRPr="00BB5D0E">
        <w:rPr>
          <w:rFonts w:cs="Arial"/>
          <w:lang w:val="en-GB"/>
        </w:rPr>
        <w:t xml:space="preserve">  This is precisely why it is incumbent on </w:t>
      </w:r>
      <w:r w:rsidRPr="00BB5D0E">
        <w:rPr>
          <w:rFonts w:cs="Arial"/>
          <w:lang w:val="en-GB"/>
        </w:rPr>
        <w:t xml:space="preserve">the DHA to give direction on this issue, which, as at the date of the filing of these heads of argument </w:t>
      </w:r>
      <w:r w:rsidR="0041556C" w:rsidRPr="00BB5D0E">
        <w:rPr>
          <w:rFonts w:cs="Arial"/>
          <w:lang w:val="en-GB"/>
        </w:rPr>
        <w:t>it has</w:t>
      </w:r>
      <w:r w:rsidRPr="00BB5D0E">
        <w:rPr>
          <w:rFonts w:cs="Arial"/>
          <w:lang w:val="en-GB"/>
        </w:rPr>
        <w:t xml:space="preserve"> failed to do, notwithstanding requests by the City for it to do so.</w:t>
      </w:r>
      <w:r w:rsidRPr="00EC24F7">
        <w:rPr>
          <w:rStyle w:val="FootnoteReference"/>
          <w:rFonts w:cs="Arial"/>
          <w:lang w:val="en-GB"/>
        </w:rPr>
        <w:footnoteReference w:id="207"/>
      </w:r>
    </w:p>
    <w:p w14:paraId="0E94E144" w14:textId="7445E89D" w:rsidR="00377C70" w:rsidRPr="00EC24F7" w:rsidRDefault="00AE3818" w:rsidP="00AE3818">
      <w:pPr>
        <w:pStyle w:val="Heading1"/>
        <w:rPr>
          <w:rFonts w:cs="Arial"/>
          <w:b w:val="0"/>
          <w:bCs/>
          <w:szCs w:val="24"/>
          <w:lang w:val="en-GB"/>
        </w:rPr>
      </w:pPr>
      <w:bookmarkStart w:id="21" w:name="_Toc225751551"/>
      <w:bookmarkStart w:id="22" w:name="_Toc226040132"/>
      <w:r w:rsidRPr="00EC24F7">
        <w:rPr>
          <w:rFonts w:cs="Arial"/>
          <w:bCs/>
          <w:szCs w:val="24"/>
          <w:lang w:val="en-GB"/>
        </w:rPr>
        <w:t xml:space="preserve">INSPECTION </w:t>
      </w:r>
      <w:r w:rsidRPr="00EC24F7">
        <w:rPr>
          <w:rFonts w:cs="Arial"/>
          <w:bCs/>
          <w:i/>
          <w:iCs/>
          <w:szCs w:val="24"/>
          <w:lang w:val="en-GB"/>
        </w:rPr>
        <w:t>IN LOCO</w:t>
      </w:r>
      <w:bookmarkEnd w:id="21"/>
      <w:bookmarkEnd w:id="22"/>
      <w:r w:rsidRPr="00EC24F7">
        <w:rPr>
          <w:rFonts w:cs="Arial"/>
          <w:bCs/>
          <w:szCs w:val="24"/>
          <w:lang w:val="en-GB"/>
        </w:rPr>
        <w:t xml:space="preserve"> </w:t>
      </w:r>
    </w:p>
    <w:p w14:paraId="64698DC2" w14:textId="040C7A9D" w:rsidR="00F15FCA" w:rsidRPr="00EC24F7" w:rsidRDefault="00F15FCA" w:rsidP="00AB5985">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 xml:space="preserve">The City asks for an inspection </w:t>
      </w:r>
      <w:r w:rsidRPr="00EC24F7">
        <w:rPr>
          <w:rFonts w:cs="Arial"/>
          <w:i/>
          <w:iCs/>
          <w:lang w:val="en-GB"/>
        </w:rPr>
        <w:t>in loco</w:t>
      </w:r>
      <w:r w:rsidRPr="00EC24F7">
        <w:rPr>
          <w:rFonts w:cs="Arial"/>
          <w:lang w:val="en-GB"/>
        </w:rPr>
        <w:t xml:space="preserve"> in order </w:t>
      </w:r>
      <w:r w:rsidR="000B7A13" w:rsidRPr="00EC24F7">
        <w:rPr>
          <w:rFonts w:cs="Arial"/>
          <w:lang w:val="en-GB"/>
        </w:rPr>
        <w:t>for the Court to ascertain for itself the dire circumstances prevailing at the property.</w:t>
      </w:r>
      <w:r w:rsidR="000B7A13" w:rsidRPr="00EC24F7">
        <w:rPr>
          <w:rStyle w:val="FootnoteReference"/>
          <w:rFonts w:cs="Arial"/>
          <w:lang w:val="en-GB"/>
        </w:rPr>
        <w:footnoteReference w:id="208"/>
      </w:r>
      <w:r w:rsidR="00C61D5B" w:rsidRPr="00EC24F7">
        <w:rPr>
          <w:rFonts w:cs="Arial"/>
          <w:lang w:val="en-GB"/>
        </w:rPr>
        <w:t xml:space="preserve">  The City submits </w:t>
      </w:r>
      <w:r w:rsidRPr="00EC24F7">
        <w:rPr>
          <w:rFonts w:cs="Arial"/>
          <w:lang w:val="en-GB"/>
        </w:rPr>
        <w:t xml:space="preserve">that it is necessary for the Court to view </w:t>
      </w:r>
      <w:r w:rsidR="00C61D5B" w:rsidRPr="00EC24F7">
        <w:rPr>
          <w:rFonts w:cs="Arial"/>
          <w:lang w:val="en-GB"/>
        </w:rPr>
        <w:t>properties first hand</w:t>
      </w:r>
      <w:r w:rsidRPr="00EC24F7">
        <w:rPr>
          <w:rFonts w:cs="Arial"/>
          <w:lang w:val="en-GB"/>
        </w:rPr>
        <w:t xml:space="preserve"> </w:t>
      </w:r>
      <w:r w:rsidR="00C61D5B" w:rsidRPr="00EC24F7">
        <w:rPr>
          <w:rFonts w:cs="Arial"/>
          <w:lang w:val="en-GB"/>
        </w:rPr>
        <w:t>for a full,</w:t>
      </w:r>
      <w:r w:rsidRPr="00EC24F7">
        <w:rPr>
          <w:rFonts w:cs="Arial"/>
          <w:lang w:val="en-GB"/>
        </w:rPr>
        <w:t xml:space="preserve"> contextual understanding of the properties that simply do</w:t>
      </w:r>
      <w:r w:rsidR="00C61D5B" w:rsidRPr="00EC24F7">
        <w:rPr>
          <w:rFonts w:cs="Arial"/>
          <w:lang w:val="en-GB"/>
        </w:rPr>
        <w:t>es not appear from</w:t>
      </w:r>
      <w:r w:rsidRPr="00EC24F7">
        <w:rPr>
          <w:rFonts w:cs="Arial"/>
          <w:lang w:val="en-GB"/>
        </w:rPr>
        <w:t xml:space="preserve"> </w:t>
      </w:r>
      <w:r w:rsidR="00C61D5B" w:rsidRPr="00EC24F7">
        <w:rPr>
          <w:rFonts w:cs="Arial"/>
          <w:lang w:val="en-GB"/>
        </w:rPr>
        <w:t xml:space="preserve">the </w:t>
      </w:r>
      <w:r w:rsidRPr="00EC24F7">
        <w:rPr>
          <w:rFonts w:cs="Arial"/>
          <w:lang w:val="en-GB"/>
        </w:rPr>
        <w:t>outdated images</w:t>
      </w:r>
      <w:r w:rsidR="00C61D5B" w:rsidRPr="00EC24F7">
        <w:rPr>
          <w:rFonts w:cs="Arial"/>
          <w:lang w:val="en-GB"/>
        </w:rPr>
        <w:t xml:space="preserve"> attached to the founding affidavit.</w:t>
      </w:r>
      <w:r w:rsidR="00AB5985" w:rsidRPr="00EC24F7">
        <w:rPr>
          <w:rFonts w:cs="Arial"/>
          <w:lang w:val="en-GB"/>
        </w:rPr>
        <w:t xml:space="preserve">  </w:t>
      </w:r>
      <w:r w:rsidR="00AB5985" w:rsidRPr="00EC24F7">
        <w:rPr>
          <w:rFonts w:cs="Arial"/>
          <w:lang w:val="en-GB"/>
        </w:rPr>
        <w:t xml:space="preserve">It is necessary for the Court to view the properties to understand not only the scale of the unlawful occupation, but also to observe the City’s contentions regarding the issues pertaining to criminality.  As the City has pointed out the existence of a tunnel network where drugs and stolen goods are stored has a profound bearing on this matter.  </w:t>
      </w:r>
    </w:p>
    <w:p w14:paraId="596D4457" w14:textId="38769865" w:rsidR="004071EF" w:rsidRPr="00EC24F7" w:rsidRDefault="00476EAE" w:rsidP="00F6043A">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In the founding affidavit Transnet provide</w:t>
      </w:r>
      <w:r w:rsidR="00D827FC" w:rsidRPr="00EC24F7">
        <w:rPr>
          <w:rFonts w:cs="Arial"/>
          <w:lang w:val="en-GB"/>
        </w:rPr>
        <w:t>d</w:t>
      </w:r>
      <w:r w:rsidRPr="00EC24F7">
        <w:rPr>
          <w:rFonts w:cs="Arial"/>
          <w:lang w:val="en-GB"/>
        </w:rPr>
        <w:t xml:space="preserve"> a</w:t>
      </w:r>
      <w:r w:rsidR="00E1507F" w:rsidRPr="00EC24F7">
        <w:rPr>
          <w:rFonts w:cs="Arial"/>
          <w:lang w:val="en-GB"/>
        </w:rPr>
        <w:t xml:space="preserve"> description of the properties </w:t>
      </w:r>
      <w:r w:rsidR="00202EF4" w:rsidRPr="00EC24F7">
        <w:rPr>
          <w:rFonts w:cs="Arial"/>
          <w:lang w:val="en-GB"/>
        </w:rPr>
        <w:t xml:space="preserve">(and areas of occupation) </w:t>
      </w:r>
      <w:r w:rsidR="008431C4" w:rsidRPr="00EC24F7">
        <w:rPr>
          <w:rFonts w:cs="Arial"/>
          <w:lang w:val="en-GB"/>
        </w:rPr>
        <w:t xml:space="preserve">and </w:t>
      </w:r>
      <w:r w:rsidR="00202EF4" w:rsidRPr="00EC24F7">
        <w:rPr>
          <w:rFonts w:cs="Arial"/>
          <w:lang w:val="en-GB"/>
        </w:rPr>
        <w:t>attach</w:t>
      </w:r>
      <w:r w:rsidRPr="00EC24F7">
        <w:rPr>
          <w:rFonts w:cs="Arial"/>
          <w:lang w:val="en-GB"/>
        </w:rPr>
        <w:t>es</w:t>
      </w:r>
      <w:r w:rsidR="00202EF4" w:rsidRPr="00EC24F7">
        <w:rPr>
          <w:rFonts w:cs="Arial"/>
          <w:lang w:val="en-GB"/>
        </w:rPr>
        <w:t xml:space="preserve"> satellite</w:t>
      </w:r>
      <w:r w:rsidR="008431C4" w:rsidRPr="00EC24F7">
        <w:rPr>
          <w:rFonts w:cs="Arial"/>
          <w:lang w:val="en-GB"/>
        </w:rPr>
        <w:t>/</w:t>
      </w:r>
      <w:r w:rsidR="00202EF4" w:rsidRPr="00EC24F7">
        <w:rPr>
          <w:rFonts w:cs="Arial"/>
          <w:lang w:val="en-GB"/>
        </w:rPr>
        <w:t>drone imaging</w:t>
      </w:r>
      <w:r w:rsidR="008431C4" w:rsidRPr="00EC24F7">
        <w:rPr>
          <w:rFonts w:cs="Arial"/>
          <w:lang w:val="en-GB"/>
        </w:rPr>
        <w:t>.</w:t>
      </w:r>
      <w:r w:rsidR="0086763D" w:rsidRPr="00EC24F7">
        <w:rPr>
          <w:rStyle w:val="FootnoteReference"/>
          <w:rFonts w:cs="Arial"/>
          <w:lang w:val="en-GB"/>
        </w:rPr>
        <w:footnoteReference w:id="209"/>
      </w:r>
      <w:r w:rsidR="005063F9" w:rsidRPr="00EC24F7">
        <w:rPr>
          <w:rFonts w:cs="Arial"/>
          <w:lang w:val="en-GB"/>
        </w:rPr>
        <w:t xml:space="preserve"> </w:t>
      </w:r>
      <w:r w:rsidR="00D827FC" w:rsidRPr="00EC24F7">
        <w:rPr>
          <w:rFonts w:cs="Arial"/>
          <w:lang w:val="en-GB"/>
        </w:rPr>
        <w:t xml:space="preserve"> </w:t>
      </w:r>
      <w:r w:rsidR="008431C4" w:rsidRPr="00EC24F7">
        <w:rPr>
          <w:rFonts w:cs="Arial"/>
          <w:lang w:val="en-GB"/>
        </w:rPr>
        <w:t>However</w:t>
      </w:r>
      <w:r w:rsidR="005063F9" w:rsidRPr="00EC24F7">
        <w:rPr>
          <w:rFonts w:cs="Arial"/>
          <w:lang w:val="en-GB"/>
        </w:rPr>
        <w:t>,</w:t>
      </w:r>
      <w:r w:rsidR="008431C4" w:rsidRPr="00EC24F7">
        <w:rPr>
          <w:rFonts w:cs="Arial"/>
          <w:lang w:val="en-GB"/>
        </w:rPr>
        <w:t xml:space="preserve"> </w:t>
      </w:r>
      <w:r w:rsidR="00634564" w:rsidRPr="00EC24F7">
        <w:rPr>
          <w:rFonts w:cs="Arial"/>
          <w:lang w:val="en-GB"/>
        </w:rPr>
        <w:t xml:space="preserve">Transnet has failed to state </w:t>
      </w:r>
      <w:r w:rsidR="00634564" w:rsidRPr="00EC24F7">
        <w:rPr>
          <w:rFonts w:cs="Arial"/>
          <w:u w:val="single"/>
          <w:lang w:val="en-GB"/>
        </w:rPr>
        <w:t>when</w:t>
      </w:r>
      <w:r w:rsidR="00D827FC" w:rsidRPr="00EC24F7">
        <w:rPr>
          <w:rFonts w:cs="Arial"/>
          <w:lang w:val="en-GB"/>
        </w:rPr>
        <w:t xml:space="preserve"> those images were taken</w:t>
      </w:r>
      <w:r w:rsidR="00634564" w:rsidRPr="00EC24F7">
        <w:rPr>
          <w:rFonts w:cs="Arial"/>
          <w:lang w:val="en-GB"/>
        </w:rPr>
        <w:t>.</w:t>
      </w:r>
      <w:r w:rsidR="00B71867" w:rsidRPr="00EC24F7">
        <w:rPr>
          <w:rStyle w:val="FootnoteReference"/>
          <w:rFonts w:cs="Arial"/>
          <w:lang w:val="en-GB"/>
        </w:rPr>
        <w:footnoteReference w:id="210"/>
      </w:r>
      <w:r w:rsidR="00634564" w:rsidRPr="00EC24F7">
        <w:rPr>
          <w:rFonts w:cs="Arial"/>
          <w:lang w:val="en-GB"/>
        </w:rPr>
        <w:t xml:space="preserve"> </w:t>
      </w:r>
      <w:r w:rsidR="00F6043A" w:rsidRPr="00EC24F7">
        <w:rPr>
          <w:rFonts w:cs="Arial"/>
          <w:lang w:val="en-GB"/>
        </w:rPr>
        <w:t xml:space="preserve"> It appears from the confirmatory affidavit of Ms Sam that those images were likely taken in 2024 when the Transnet surveys were conducted in which case they would be woefully </w:t>
      </w:r>
      <w:r w:rsidR="00F6043A" w:rsidRPr="00EC24F7">
        <w:rPr>
          <w:rFonts w:cs="Arial"/>
          <w:lang w:val="en-GB"/>
        </w:rPr>
        <w:lastRenderedPageBreak/>
        <w:t>outdated and in any event the images do not provide any perspective of what is actually happening at the properties</w:t>
      </w:r>
      <w:r w:rsidR="004071EF" w:rsidRPr="00EC24F7">
        <w:rPr>
          <w:rFonts w:cs="Arial"/>
          <w:lang w:val="en-GB"/>
        </w:rPr>
        <w:t xml:space="preserve">. </w:t>
      </w:r>
    </w:p>
    <w:p w14:paraId="043CADD2" w14:textId="59F91634" w:rsidR="00AF1571" w:rsidRPr="00EC24F7" w:rsidRDefault="00AF1571" w:rsidP="00AF1571">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I</w:t>
      </w:r>
      <w:r w:rsidR="009618D8" w:rsidRPr="00EC24F7">
        <w:rPr>
          <w:rFonts w:cs="Arial"/>
          <w:lang w:val="en-GB"/>
        </w:rPr>
        <w:t xml:space="preserve">t is necessary for the </w:t>
      </w:r>
      <w:r w:rsidR="003D6F2C">
        <w:rPr>
          <w:rFonts w:cs="Arial"/>
          <w:lang w:val="en-GB"/>
        </w:rPr>
        <w:t>C</w:t>
      </w:r>
      <w:r w:rsidR="009618D8" w:rsidRPr="00EC24F7">
        <w:rPr>
          <w:rFonts w:cs="Arial"/>
          <w:lang w:val="en-GB"/>
        </w:rPr>
        <w:t xml:space="preserve">ourt to obtain </w:t>
      </w:r>
      <w:r w:rsidR="008C7103" w:rsidRPr="00EC24F7">
        <w:rPr>
          <w:rFonts w:cs="Arial"/>
          <w:lang w:val="en-GB"/>
        </w:rPr>
        <w:t>a proper contextual understanding of the properties</w:t>
      </w:r>
      <w:r w:rsidR="00DB6364" w:rsidRPr="00EC24F7">
        <w:rPr>
          <w:rFonts w:cs="Arial"/>
          <w:lang w:val="en-GB"/>
        </w:rPr>
        <w:t xml:space="preserve"> and the occupation for purposes of</w:t>
      </w:r>
      <w:r w:rsidRPr="00EC24F7">
        <w:rPr>
          <w:rFonts w:cs="Arial"/>
          <w:lang w:val="en-GB"/>
        </w:rPr>
        <w:t xml:space="preserve"> the</w:t>
      </w:r>
      <w:r w:rsidR="00DB6364" w:rsidRPr="00EC24F7">
        <w:rPr>
          <w:rFonts w:cs="Arial"/>
          <w:lang w:val="en-GB"/>
        </w:rPr>
        <w:t xml:space="preserve"> just and equit</w:t>
      </w:r>
      <w:r w:rsidRPr="00EC24F7">
        <w:rPr>
          <w:rFonts w:cs="Arial"/>
          <w:lang w:val="en-GB"/>
        </w:rPr>
        <w:t>able</w:t>
      </w:r>
      <w:r w:rsidR="00DB6364" w:rsidRPr="00EC24F7">
        <w:rPr>
          <w:rFonts w:cs="Arial"/>
          <w:lang w:val="en-GB"/>
        </w:rPr>
        <w:t xml:space="preserve"> enquiry. </w:t>
      </w:r>
      <w:r w:rsidR="009618D8" w:rsidRPr="00EC24F7">
        <w:rPr>
          <w:rFonts w:cs="Arial"/>
          <w:lang w:val="en-GB"/>
        </w:rPr>
        <w:t xml:space="preserve">In addition, </w:t>
      </w:r>
      <w:r w:rsidR="00ED5065" w:rsidRPr="00EC24F7">
        <w:rPr>
          <w:rFonts w:cs="Arial"/>
          <w:lang w:val="en-GB"/>
        </w:rPr>
        <w:t>c</w:t>
      </w:r>
      <w:r w:rsidR="009618D8" w:rsidRPr="00EC24F7">
        <w:rPr>
          <w:rFonts w:cs="Arial"/>
          <w:lang w:val="en-GB"/>
        </w:rPr>
        <w:t xml:space="preserve">ourts </w:t>
      </w:r>
      <w:r w:rsidR="00C220A6" w:rsidRPr="00EC24F7">
        <w:rPr>
          <w:rFonts w:cs="Arial"/>
          <w:lang w:val="en-GB"/>
        </w:rPr>
        <w:t>are entitled</w:t>
      </w:r>
      <w:r w:rsidR="009618D8" w:rsidRPr="00EC24F7">
        <w:rPr>
          <w:rFonts w:cs="Arial"/>
          <w:lang w:val="en-GB"/>
        </w:rPr>
        <w:t xml:space="preserve"> engage in inspections </w:t>
      </w:r>
      <w:r w:rsidR="009618D8" w:rsidRPr="00EC24F7">
        <w:rPr>
          <w:rFonts w:cs="Arial"/>
          <w:i/>
          <w:iCs/>
          <w:lang w:val="en-GB"/>
        </w:rPr>
        <w:t>in loco</w:t>
      </w:r>
      <w:r w:rsidR="009618D8" w:rsidRPr="00EC24F7">
        <w:rPr>
          <w:rFonts w:cs="Arial"/>
          <w:lang w:val="en-GB"/>
        </w:rPr>
        <w:t xml:space="preserve"> for purposes of eviction proceedings</w:t>
      </w:r>
      <w:r w:rsidR="003B0EFF" w:rsidRPr="00EC24F7">
        <w:rPr>
          <w:rFonts w:cs="Arial"/>
          <w:lang w:val="en-GB"/>
        </w:rPr>
        <w:t xml:space="preserve">, </w:t>
      </w:r>
      <w:r w:rsidR="00C220A6" w:rsidRPr="00EC24F7">
        <w:rPr>
          <w:rFonts w:cs="Arial"/>
          <w:lang w:val="en-GB"/>
        </w:rPr>
        <w:t xml:space="preserve">as the High Court did in </w:t>
      </w:r>
      <w:r w:rsidR="00C220A6" w:rsidRPr="00EC24F7">
        <w:rPr>
          <w:rFonts w:cs="Arial"/>
          <w:i/>
          <w:iCs/>
          <w:lang w:val="en-GB"/>
        </w:rPr>
        <w:t>Grootboom</w:t>
      </w:r>
      <w:r w:rsidR="00C220A6" w:rsidRPr="00EC24F7">
        <w:rPr>
          <w:rFonts w:cs="Arial"/>
          <w:lang w:val="en-GB"/>
        </w:rPr>
        <w:t>.</w:t>
      </w:r>
      <w:r w:rsidR="00C220A6" w:rsidRPr="00EC24F7">
        <w:rPr>
          <w:rStyle w:val="FootnoteReference"/>
          <w:rFonts w:cs="Arial"/>
          <w:lang w:val="en-GB"/>
        </w:rPr>
        <w:footnoteReference w:id="211"/>
      </w:r>
      <w:r w:rsidR="00307DC9" w:rsidRPr="00EC24F7">
        <w:rPr>
          <w:rFonts w:cs="Arial"/>
          <w:lang w:val="en-GB"/>
        </w:rPr>
        <w:t xml:space="preserve"> </w:t>
      </w:r>
      <w:r w:rsidR="00143CCB" w:rsidRPr="00EC24F7">
        <w:rPr>
          <w:rFonts w:cs="Arial"/>
          <w:lang w:val="en-GB"/>
        </w:rPr>
        <w:t xml:space="preserve"> </w:t>
      </w:r>
    </w:p>
    <w:p w14:paraId="0DFB62E4" w14:textId="32C9AB44" w:rsidR="00ED5065" w:rsidRPr="00EC24F7" w:rsidRDefault="00ED5065" w:rsidP="00ED5065">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 xml:space="preserve">Transnet’s objection to an inspection </w:t>
      </w:r>
      <w:r w:rsidRPr="00EC24F7">
        <w:rPr>
          <w:rFonts w:cs="Arial"/>
          <w:i/>
          <w:iCs/>
          <w:lang w:val="en-GB"/>
        </w:rPr>
        <w:t xml:space="preserve">in loco </w:t>
      </w:r>
      <w:r w:rsidRPr="00EC24F7">
        <w:rPr>
          <w:rFonts w:cs="Arial"/>
          <w:lang w:val="en-GB"/>
        </w:rPr>
        <w:t xml:space="preserve">on the basis that it has provided </w:t>
      </w:r>
      <w:r w:rsidRPr="00EC24F7">
        <w:rPr>
          <w:rFonts w:cs="Arial"/>
          <w:i/>
          <w:iCs/>
          <w:lang w:val="en-GB"/>
        </w:rPr>
        <w:t>‘comprehensive information’</w:t>
      </w:r>
      <w:r w:rsidRPr="00EC24F7">
        <w:rPr>
          <w:rStyle w:val="FootnoteReference"/>
          <w:rFonts w:cs="Arial"/>
          <w:lang w:val="en-GB"/>
        </w:rPr>
        <w:footnoteReference w:id="212"/>
      </w:r>
      <w:r w:rsidRPr="00EC24F7">
        <w:rPr>
          <w:rFonts w:cs="Arial"/>
          <w:i/>
          <w:iCs/>
          <w:lang w:val="en-GB"/>
        </w:rPr>
        <w:t xml:space="preserve">  </w:t>
      </w:r>
      <w:r w:rsidRPr="00EC24F7">
        <w:rPr>
          <w:rFonts w:cs="Arial"/>
        </w:rPr>
        <w:t>is unconvincing. The objection appears to be a tactical move motivated by a desire to shield the Court from the parlous state of the properties and the criminal activity taking place there, in a transparent attempt to obscure the reality on the ground.</w:t>
      </w:r>
    </w:p>
    <w:p w14:paraId="77998ACD" w14:textId="590BD4CD" w:rsidR="0075699F" w:rsidRPr="00EC24F7" w:rsidRDefault="0075699F" w:rsidP="0075699F">
      <w:pPr>
        <w:pStyle w:val="Heading1"/>
        <w:rPr>
          <w:rFonts w:cs="Arial"/>
          <w:b w:val="0"/>
          <w:bCs/>
          <w:szCs w:val="24"/>
          <w:lang w:val="en-GB"/>
        </w:rPr>
      </w:pPr>
      <w:bookmarkStart w:id="23" w:name="_Toc225751541"/>
      <w:bookmarkStart w:id="24" w:name="_Toc226040133"/>
      <w:r w:rsidRPr="00EC24F7">
        <w:rPr>
          <w:rFonts w:cs="Arial"/>
          <w:bCs/>
          <w:szCs w:val="24"/>
          <w:lang w:val="en-GB"/>
        </w:rPr>
        <w:t>THE ADMISSION OF THE FURTHER AFFIDAVIT IN TERMS OF RULE 6(5)(</w:t>
      </w:r>
      <w:r w:rsidR="00BF1B9B" w:rsidRPr="00EC24F7">
        <w:rPr>
          <w:rFonts w:cs="Arial"/>
          <w:bCs/>
          <w:caps w:val="0"/>
          <w:szCs w:val="24"/>
          <w:lang w:val="en-GB"/>
        </w:rPr>
        <w:t>e</w:t>
      </w:r>
      <w:r w:rsidRPr="00EC24F7">
        <w:rPr>
          <w:rFonts w:cs="Arial"/>
          <w:bCs/>
          <w:szCs w:val="24"/>
          <w:lang w:val="en-GB"/>
        </w:rPr>
        <w:t>)</w:t>
      </w:r>
      <w:bookmarkEnd w:id="23"/>
      <w:bookmarkEnd w:id="24"/>
    </w:p>
    <w:p w14:paraId="58350591" w14:textId="1C012223" w:rsidR="00BF1B9B" w:rsidRPr="00EC24F7" w:rsidRDefault="00EA4724" w:rsidP="0075699F">
      <w:pPr>
        <w:numPr>
          <w:ilvl w:val="0"/>
          <w:numId w:val="2"/>
        </w:numPr>
        <w:snapToGrid w:val="0"/>
        <w:spacing w:before="120" w:after="360" w:line="480" w:lineRule="auto"/>
        <w:jc w:val="both"/>
        <w:rPr>
          <w:rFonts w:cs="Arial"/>
          <w:iCs/>
          <w:lang w:val="en-GB"/>
        </w:rPr>
      </w:pPr>
      <w:r w:rsidRPr="00EC24F7">
        <w:rPr>
          <w:rFonts w:cs="Arial"/>
        </w:rPr>
        <w:t xml:space="preserve">Rule 6(5)(e) </w:t>
      </w:r>
      <w:r w:rsidR="00BB5909">
        <w:rPr>
          <w:rFonts w:cs="Arial"/>
        </w:rPr>
        <w:t>empowers</w:t>
      </w:r>
      <w:r w:rsidRPr="00EC24F7">
        <w:rPr>
          <w:rFonts w:cs="Arial"/>
        </w:rPr>
        <w:t xml:space="preserve"> </w:t>
      </w:r>
      <w:r w:rsidRPr="00EC24F7">
        <w:rPr>
          <w:rFonts w:cs="Arial"/>
          <w:iCs/>
        </w:rPr>
        <w:t>the</w:t>
      </w:r>
      <w:r w:rsidRPr="00EC24F7">
        <w:rPr>
          <w:rFonts w:cs="Arial"/>
          <w:iCs/>
        </w:rPr>
        <w:t xml:space="preserve"> </w:t>
      </w:r>
      <w:r w:rsidR="00BB5909">
        <w:rPr>
          <w:rFonts w:cs="Arial"/>
          <w:iCs/>
        </w:rPr>
        <w:t>C</w:t>
      </w:r>
      <w:r w:rsidRPr="00EC24F7">
        <w:rPr>
          <w:rFonts w:cs="Arial"/>
          <w:iCs/>
        </w:rPr>
        <w:t>ourt in its discretion permit the filing of further affidavits.</w:t>
      </w:r>
      <w:r w:rsidR="001B6D76" w:rsidRPr="00EC24F7">
        <w:rPr>
          <w:rFonts w:cs="Arial"/>
          <w:iCs/>
        </w:rPr>
        <w:t xml:space="preserve">  </w:t>
      </w:r>
    </w:p>
    <w:p w14:paraId="6DFE429E" w14:textId="2578AA3D" w:rsidR="00030075" w:rsidRPr="00EC24F7" w:rsidRDefault="00030075" w:rsidP="00C93CDE">
      <w:pPr>
        <w:numPr>
          <w:ilvl w:val="0"/>
          <w:numId w:val="2"/>
        </w:numPr>
        <w:snapToGrid w:val="0"/>
        <w:spacing w:before="120" w:after="360" w:line="480" w:lineRule="auto"/>
        <w:jc w:val="both"/>
        <w:rPr>
          <w:rFonts w:cs="Arial"/>
          <w:iCs/>
          <w:lang w:val="en-GB"/>
        </w:rPr>
      </w:pPr>
      <w:r w:rsidRPr="00EC24F7">
        <w:rPr>
          <w:rFonts w:cs="Arial"/>
          <w:iCs/>
        </w:rPr>
        <w:t>Transnet</w:t>
      </w:r>
      <w:r w:rsidR="00CD261B" w:rsidRPr="00EC24F7">
        <w:rPr>
          <w:rFonts w:cs="Arial"/>
          <w:iCs/>
        </w:rPr>
        <w:t xml:space="preserve"> has </w:t>
      </w:r>
      <w:r w:rsidR="00CD261B" w:rsidRPr="00EC24F7">
        <w:rPr>
          <w:rFonts w:cs="Arial"/>
          <w:iCs/>
          <w:lang w:val="en-GB"/>
        </w:rPr>
        <w:t xml:space="preserve">in fact </w:t>
      </w:r>
      <w:r w:rsidR="00CD261B" w:rsidRPr="00EC24F7">
        <w:rPr>
          <w:rFonts w:cs="Arial"/>
          <w:lang w:val="en-GB"/>
        </w:rPr>
        <w:t>called for a response from the City with regard why certain City owned properties identified by Transnet for the first time in the replying affidavit a</w:t>
      </w:r>
      <w:r w:rsidR="000B16FC">
        <w:rPr>
          <w:rFonts w:cs="Arial"/>
          <w:lang w:val="en-GB"/>
        </w:rPr>
        <w:t>s</w:t>
      </w:r>
      <w:r w:rsidR="00CD261B" w:rsidRPr="00EC24F7">
        <w:rPr>
          <w:rFonts w:cs="Arial"/>
          <w:lang w:val="en-GB"/>
        </w:rPr>
        <w:t xml:space="preserve"> supposedly being suitable for emergency housing</w:t>
      </w:r>
      <w:r w:rsidR="000B16FC">
        <w:rPr>
          <w:rFonts w:cs="Arial"/>
          <w:lang w:val="en-GB"/>
        </w:rPr>
        <w:t xml:space="preserve">, </w:t>
      </w:r>
      <w:r w:rsidR="00CD261B" w:rsidRPr="00EC24F7">
        <w:rPr>
          <w:rFonts w:cs="Arial"/>
          <w:lang w:val="en-GB"/>
        </w:rPr>
        <w:t>have not been  offered by the City for this purpose.</w:t>
      </w:r>
      <w:r w:rsidR="00CD261B" w:rsidRPr="00EC24F7">
        <w:rPr>
          <w:rStyle w:val="FootnoteReference"/>
          <w:rFonts w:cs="Arial"/>
          <w:lang w:val="en-GB"/>
        </w:rPr>
        <w:footnoteReference w:id="213"/>
      </w:r>
      <w:r w:rsidR="004F6C05" w:rsidRPr="00EC24F7">
        <w:rPr>
          <w:rFonts w:cs="Arial"/>
          <w:lang w:val="en-GB"/>
        </w:rPr>
        <w:t xml:space="preserve">  In</w:t>
      </w:r>
      <w:r w:rsidR="004F6C05" w:rsidRPr="00EC24F7">
        <w:rPr>
          <w:rFonts w:cs="Arial"/>
          <w:lang w:val="en-GB"/>
        </w:rPr>
        <w:t xml:space="preserve"> its heads of argument, </w:t>
      </w:r>
      <w:r w:rsidR="004F6C05" w:rsidRPr="00EC24F7">
        <w:rPr>
          <w:rFonts w:cs="Arial"/>
          <w:lang w:val="en-GB"/>
        </w:rPr>
        <w:t>Transnet</w:t>
      </w:r>
      <w:r w:rsidR="004F6C05" w:rsidRPr="00EC24F7">
        <w:rPr>
          <w:rFonts w:cs="Arial"/>
          <w:lang w:val="en-GB"/>
        </w:rPr>
        <w:t xml:space="preserve"> contends that absent an explanation as to why the City auctioned off properties that could supposedly be used for emergency housing, the City’s position regarding the Langa </w:t>
      </w:r>
      <w:r w:rsidR="009624CA" w:rsidRPr="00EC24F7">
        <w:rPr>
          <w:rFonts w:cs="Arial"/>
          <w:lang w:val="en-GB"/>
        </w:rPr>
        <w:t>site</w:t>
      </w:r>
      <w:r w:rsidR="004F6C05" w:rsidRPr="00EC24F7">
        <w:rPr>
          <w:rFonts w:cs="Arial"/>
          <w:lang w:val="en-GB"/>
        </w:rPr>
        <w:t xml:space="preserve"> would be </w:t>
      </w:r>
      <w:r w:rsidR="004F6C05" w:rsidRPr="00EC24F7">
        <w:rPr>
          <w:rFonts w:cs="Arial"/>
          <w:i/>
          <w:iCs/>
          <w:lang w:val="en-GB"/>
        </w:rPr>
        <w:t xml:space="preserve">‘tantamount to an arbitrary seizure of </w:t>
      </w:r>
      <w:r w:rsidR="004F6C05" w:rsidRPr="00EC24F7">
        <w:rPr>
          <w:rFonts w:cs="Arial"/>
          <w:i/>
          <w:iCs/>
          <w:lang w:val="en-GB"/>
        </w:rPr>
        <w:lastRenderedPageBreak/>
        <w:t>property’</w:t>
      </w:r>
      <w:r w:rsidR="004F6C05" w:rsidRPr="00EC24F7">
        <w:rPr>
          <w:rFonts w:cs="Arial"/>
          <w:lang w:val="en-GB"/>
        </w:rPr>
        <w:t>.</w:t>
      </w:r>
      <w:r w:rsidR="004F6C05" w:rsidRPr="00EC24F7">
        <w:rPr>
          <w:rStyle w:val="FootnoteReference"/>
          <w:rFonts w:cs="Arial"/>
          <w:lang w:val="en-GB"/>
        </w:rPr>
        <w:footnoteReference w:id="214"/>
      </w:r>
      <w:r w:rsidRPr="00EC24F7">
        <w:rPr>
          <w:rFonts w:cs="Arial"/>
          <w:lang w:val="en-GB"/>
        </w:rPr>
        <w:t xml:space="preserve">  </w:t>
      </w:r>
      <w:r w:rsidRPr="00EC24F7">
        <w:rPr>
          <w:rFonts w:cs="Arial"/>
          <w:lang w:val="en-GB"/>
        </w:rPr>
        <w:t xml:space="preserve">Transnet also </w:t>
      </w:r>
      <w:r w:rsidRPr="00EC24F7">
        <w:rPr>
          <w:rFonts w:cs="Arial"/>
          <w:lang w:val="en-GB"/>
        </w:rPr>
        <w:t>contends</w:t>
      </w:r>
      <w:r w:rsidRPr="00EC24F7">
        <w:rPr>
          <w:rFonts w:cs="Arial"/>
          <w:lang w:val="en-GB"/>
        </w:rPr>
        <w:t xml:space="preserve"> that </w:t>
      </w:r>
      <w:r w:rsidRPr="00EC24F7">
        <w:rPr>
          <w:rFonts w:cs="Arial"/>
          <w:lang w:val="en-GB"/>
        </w:rPr>
        <w:t xml:space="preserve">the City has disclosed </w:t>
      </w:r>
      <w:r w:rsidRPr="00EC24F7">
        <w:rPr>
          <w:rFonts w:cs="Arial"/>
          <w:lang w:val="en-GB"/>
        </w:rPr>
        <w:t xml:space="preserve">without prejudice negotiations regarding the Langa </w:t>
      </w:r>
      <w:r w:rsidRPr="00EC24F7">
        <w:rPr>
          <w:rFonts w:cs="Arial"/>
          <w:lang w:val="en-GB"/>
        </w:rPr>
        <w:t>site</w:t>
      </w:r>
      <w:r w:rsidRPr="00EC24F7">
        <w:rPr>
          <w:rFonts w:cs="Arial"/>
          <w:lang w:val="en-GB"/>
        </w:rPr>
        <w:t>.</w:t>
      </w:r>
      <w:r w:rsidRPr="00EC24F7">
        <w:rPr>
          <w:rStyle w:val="FootnoteReference"/>
          <w:rFonts w:cs="Arial"/>
          <w:lang w:val="en-GB"/>
        </w:rPr>
        <w:footnoteReference w:id="215"/>
      </w:r>
      <w:r w:rsidRPr="00EC24F7">
        <w:rPr>
          <w:rFonts w:cs="Arial"/>
          <w:lang w:val="en-GB"/>
        </w:rPr>
        <w:t xml:space="preserve"> </w:t>
      </w:r>
      <w:r w:rsidR="00B739F7" w:rsidRPr="00EC24F7">
        <w:rPr>
          <w:rFonts w:cs="Arial"/>
          <w:lang w:val="en-GB"/>
        </w:rPr>
        <w:t xml:space="preserve">Transnet </w:t>
      </w:r>
      <w:r w:rsidR="00B739F7" w:rsidRPr="00EC24F7">
        <w:rPr>
          <w:rFonts w:cs="Arial"/>
          <w:lang w:val="en-GB"/>
        </w:rPr>
        <w:t>persists in its replying affidavit in incorrectly asserting that the City will only offer Safe Space accommodation to those persons who occupy City owned land and in support of this contention selectively quotes portions of one sentence in the City’s answering affidavit.</w:t>
      </w:r>
      <w:r w:rsidR="00B739F7" w:rsidRPr="00EC24F7">
        <w:rPr>
          <w:rStyle w:val="FootnoteReference"/>
          <w:rFonts w:cs="Arial"/>
          <w:lang w:val="en-GB"/>
        </w:rPr>
        <w:footnoteReference w:id="216"/>
      </w:r>
      <w:r w:rsidR="00B739F7" w:rsidRPr="00EC24F7">
        <w:rPr>
          <w:rFonts w:cs="Arial"/>
          <w:lang w:val="en-GB"/>
        </w:rPr>
        <w:t xml:space="preserve"> </w:t>
      </w:r>
      <w:r w:rsidR="00E36CD1" w:rsidRPr="00EC24F7">
        <w:rPr>
          <w:rFonts w:cs="Arial"/>
          <w:lang w:val="en-GB"/>
        </w:rPr>
        <w:t xml:space="preserve"> Transnet has also raised certain new averments regarding the City’s </w:t>
      </w:r>
      <w:r w:rsidR="00B67C61" w:rsidRPr="00EC24F7">
        <w:rPr>
          <w:rFonts w:cs="Arial"/>
          <w:lang w:val="en-GB"/>
        </w:rPr>
        <w:t>engagements</w:t>
      </w:r>
      <w:r w:rsidR="00E36CD1" w:rsidRPr="00EC24F7">
        <w:rPr>
          <w:rFonts w:cs="Arial"/>
          <w:lang w:val="en-GB"/>
        </w:rPr>
        <w:t xml:space="preserve"> with DHA.</w:t>
      </w:r>
      <w:r w:rsidR="00E36CD1" w:rsidRPr="00EC24F7">
        <w:rPr>
          <w:rStyle w:val="FootnoteReference"/>
          <w:rFonts w:cs="Arial"/>
          <w:lang w:val="en-GB"/>
        </w:rPr>
        <w:footnoteReference w:id="217"/>
      </w:r>
      <w:r w:rsidR="00C93CDE" w:rsidRPr="00EC24F7">
        <w:rPr>
          <w:rFonts w:cs="Arial"/>
          <w:iCs/>
          <w:lang w:val="en-GB"/>
        </w:rPr>
        <w:t xml:space="preserve">  </w:t>
      </w:r>
      <w:r w:rsidRPr="00EC24F7">
        <w:rPr>
          <w:rFonts w:cs="Arial"/>
          <w:lang w:val="en-GB"/>
        </w:rPr>
        <w:t xml:space="preserve">Clearly, </w:t>
      </w:r>
      <w:r w:rsidR="00A947DD" w:rsidRPr="00EC24F7">
        <w:rPr>
          <w:rFonts w:cs="Arial"/>
          <w:lang w:val="en-GB"/>
        </w:rPr>
        <w:t>Transnet has raised new matter in reply which calls for</w:t>
      </w:r>
      <w:r w:rsidRPr="00EC24F7">
        <w:rPr>
          <w:rFonts w:cs="Arial"/>
          <w:lang w:val="en-GB"/>
        </w:rPr>
        <w:t xml:space="preserve"> a response </w:t>
      </w:r>
      <w:r w:rsidR="00C93CDE" w:rsidRPr="00EC24F7">
        <w:rPr>
          <w:rFonts w:cs="Arial"/>
          <w:lang w:val="en-GB"/>
        </w:rPr>
        <w:t>from</w:t>
      </w:r>
      <w:r w:rsidRPr="00EC24F7">
        <w:rPr>
          <w:rFonts w:cs="Arial"/>
          <w:lang w:val="en-GB"/>
        </w:rPr>
        <w:t xml:space="preserve"> the City, and there is no prejudice to Transnet in the City responding to these manifestly incorrectly allegations</w:t>
      </w:r>
      <w:r w:rsidR="00C93CDE" w:rsidRPr="00EC24F7">
        <w:rPr>
          <w:rFonts w:cs="Arial"/>
          <w:lang w:val="en-GB"/>
        </w:rPr>
        <w:t>.</w:t>
      </w:r>
    </w:p>
    <w:p w14:paraId="5E13846D" w14:textId="4AAA79F4" w:rsidR="009022B6" w:rsidRPr="00EC24F7" w:rsidRDefault="0016315A" w:rsidP="009022B6">
      <w:pPr>
        <w:numPr>
          <w:ilvl w:val="0"/>
          <w:numId w:val="2"/>
        </w:numPr>
        <w:snapToGrid w:val="0"/>
        <w:spacing w:before="120" w:after="360" w:line="480" w:lineRule="auto"/>
        <w:jc w:val="both"/>
        <w:rPr>
          <w:rFonts w:cs="Arial"/>
          <w:iCs/>
          <w:lang w:val="en-GB"/>
        </w:rPr>
      </w:pPr>
      <w:r>
        <w:rPr>
          <w:rFonts w:cs="Arial"/>
          <w:color w:val="000000"/>
          <w:lang w:val="en-GB" w:eastAsia="en-ZA"/>
        </w:rPr>
        <w:t>The C</w:t>
      </w:r>
      <w:r w:rsidR="009022B6" w:rsidRPr="00EC24F7">
        <w:rPr>
          <w:rFonts w:cs="Arial"/>
          <w:color w:val="000000"/>
          <w:lang w:val="en-GB" w:eastAsia="en-ZA"/>
        </w:rPr>
        <w:t>ourt has a discretion to allow new matter in a replying affidavit, giving the respondent the opportunity to deal with such matter in a further set of affidavits.</w:t>
      </w:r>
      <w:r w:rsidR="009022B6" w:rsidRPr="00EC24F7">
        <w:rPr>
          <w:rFonts w:cs="Arial"/>
          <w:lang w:val="en-GB"/>
        </w:rPr>
        <w:t xml:space="preserve"> </w:t>
      </w:r>
      <w:r w:rsidR="009022B6" w:rsidRPr="00EC24F7">
        <w:rPr>
          <w:rFonts w:cs="Arial"/>
          <w:color w:val="000000"/>
          <w:lang w:val="en-GB" w:eastAsia="en-ZA"/>
        </w:rPr>
        <w:t xml:space="preserve">In the exercise of this discretion the </w:t>
      </w:r>
      <w:r>
        <w:rPr>
          <w:rFonts w:cs="Arial"/>
          <w:color w:val="000000"/>
          <w:lang w:val="en-GB" w:eastAsia="en-ZA"/>
        </w:rPr>
        <w:t>C</w:t>
      </w:r>
      <w:r w:rsidR="009022B6" w:rsidRPr="00EC24F7">
        <w:rPr>
          <w:rFonts w:cs="Arial"/>
          <w:color w:val="000000"/>
          <w:lang w:val="en-GB" w:eastAsia="en-ZA"/>
        </w:rPr>
        <w:t>ourt has regard to (a)</w:t>
      </w:r>
      <w:r w:rsidR="009022B6" w:rsidRPr="00EC24F7">
        <w:rPr>
          <w:rFonts w:cs="Arial"/>
          <w:lang w:val="en-GB"/>
        </w:rPr>
        <w:t> </w:t>
      </w:r>
      <w:r w:rsidR="009022B6" w:rsidRPr="00EC24F7">
        <w:rPr>
          <w:rFonts w:cs="Arial"/>
          <w:color w:val="000000"/>
          <w:lang w:val="en-GB" w:eastAsia="en-ZA"/>
        </w:rPr>
        <w:t xml:space="preserve">whether all the facts necessary to determine the new matter raised in the replying affidavit were placed before the </w:t>
      </w:r>
      <w:r>
        <w:rPr>
          <w:rFonts w:cs="Arial"/>
          <w:color w:val="000000"/>
          <w:lang w:val="en-GB" w:eastAsia="en-ZA"/>
        </w:rPr>
        <w:t>C</w:t>
      </w:r>
      <w:r w:rsidR="009022B6" w:rsidRPr="00EC24F7">
        <w:rPr>
          <w:rFonts w:cs="Arial"/>
          <w:color w:val="000000"/>
          <w:lang w:val="en-GB" w:eastAsia="en-ZA"/>
        </w:rPr>
        <w:t>ourt; (b) whether the determination of the new matter will prejudice the respondent in a manner that could not be put right by orders in respect of postponement and costs; (c) whether the new matter was known to the applicant when the application was launched; and (d) whether the disallowance of the new matter will result in unnecessary waste of costs.</w:t>
      </w:r>
      <w:bookmarkStart w:id="25" w:name="0-0-0-25437"/>
      <w:bookmarkEnd w:id="25"/>
      <w:r w:rsidR="009022B6" w:rsidRPr="00EC24F7">
        <w:rPr>
          <w:rStyle w:val="FootnoteReference"/>
          <w:rFonts w:cs="Arial"/>
          <w:color w:val="000000"/>
          <w:lang w:val="en-GB" w:eastAsia="en-ZA"/>
        </w:rPr>
        <w:footnoteReference w:id="218"/>
      </w:r>
    </w:p>
    <w:p w14:paraId="12387362" w14:textId="77777777" w:rsidR="00A947DD" w:rsidRPr="00EC24F7" w:rsidRDefault="0075699F" w:rsidP="00A947DD">
      <w:pPr>
        <w:numPr>
          <w:ilvl w:val="0"/>
          <w:numId w:val="2"/>
        </w:numPr>
        <w:snapToGrid w:val="0"/>
        <w:spacing w:before="120" w:after="360" w:line="480" w:lineRule="auto"/>
        <w:jc w:val="both"/>
        <w:rPr>
          <w:rFonts w:cs="Arial"/>
          <w:lang w:val="en-GB"/>
        </w:rPr>
      </w:pPr>
      <w:r w:rsidRPr="00EC24F7">
        <w:rPr>
          <w:rFonts w:cs="Arial"/>
          <w:lang w:val="en-GB"/>
        </w:rPr>
        <w:t>Where allegations are made in a replying affidavit which call for a response, a respondent is required to seek the leave of the Court in terms of Rule 6(5)(e) to file a further affidavit to place its response before the Court.</w:t>
      </w:r>
      <w:r w:rsidRPr="00EC24F7">
        <w:rPr>
          <w:rStyle w:val="FootnoteReference"/>
          <w:rFonts w:cs="Arial"/>
          <w:lang w:val="en-GB"/>
        </w:rPr>
        <w:footnoteReference w:id="219"/>
      </w:r>
      <w:r w:rsidRPr="00EC24F7">
        <w:rPr>
          <w:rFonts w:cs="Arial"/>
          <w:lang w:val="en-GB"/>
        </w:rPr>
        <w:t xml:space="preserve">  </w:t>
      </w:r>
    </w:p>
    <w:p w14:paraId="53425CEE" w14:textId="0A0281FD" w:rsidR="0075699F" w:rsidRPr="00EC24F7" w:rsidRDefault="0075699F" w:rsidP="005C23E6">
      <w:pPr>
        <w:numPr>
          <w:ilvl w:val="0"/>
          <w:numId w:val="2"/>
        </w:numPr>
        <w:snapToGrid w:val="0"/>
        <w:spacing w:before="120" w:after="360" w:line="480" w:lineRule="auto"/>
        <w:jc w:val="both"/>
        <w:rPr>
          <w:rFonts w:cs="Arial"/>
          <w:lang w:val="en-GB"/>
        </w:rPr>
      </w:pPr>
      <w:r w:rsidRPr="00EC24F7">
        <w:rPr>
          <w:rFonts w:cs="Arial"/>
          <w:lang w:val="en-GB"/>
        </w:rPr>
        <w:lastRenderedPageBreak/>
        <w:t>Transnet has specifically called for re</w:t>
      </w:r>
      <w:r w:rsidR="00564682">
        <w:rPr>
          <w:rFonts w:cs="Arial"/>
          <w:lang w:val="en-GB"/>
        </w:rPr>
        <w:t>sponse; it</w:t>
      </w:r>
      <w:r w:rsidRPr="00EC24F7">
        <w:rPr>
          <w:rFonts w:cs="Arial"/>
          <w:lang w:val="en-GB"/>
        </w:rPr>
        <w:t xml:space="preserve"> was informed that the City would be replying before its heads were filed, but yet sought to draw adverse inferences from a supposed non-reply in its heads of argument, while simultaneously objecting to the filing of the further affidavit</w:t>
      </w:r>
      <w:r w:rsidR="00A947DD" w:rsidRPr="00EC24F7">
        <w:rPr>
          <w:rFonts w:cs="Arial"/>
          <w:lang w:val="en-GB"/>
        </w:rPr>
        <w:t xml:space="preserve">.  </w:t>
      </w:r>
      <w:r w:rsidRPr="00EC24F7">
        <w:rPr>
          <w:rFonts w:cs="Arial"/>
          <w:lang w:val="en-GB"/>
        </w:rPr>
        <w:t>The information in the further affidavit is material to enable the Court to reach a just and equitable determination of the issues</w:t>
      </w:r>
      <w:r w:rsidR="00A947DD" w:rsidRPr="00EC24F7">
        <w:rPr>
          <w:rFonts w:cs="Arial"/>
          <w:lang w:val="en-GB"/>
        </w:rPr>
        <w:t xml:space="preserve">.  </w:t>
      </w:r>
      <w:r w:rsidRPr="00EC24F7">
        <w:rPr>
          <w:rFonts w:cs="Arial"/>
          <w:lang w:val="en-GB"/>
        </w:rPr>
        <w:t>The contention that the City supposedly auctioned off properties that could reasonably be used for emergency housing of the unlawful occupiers is incorrect and calls for a response</w:t>
      </w:r>
      <w:r w:rsidR="00A947DD" w:rsidRPr="00EC24F7">
        <w:rPr>
          <w:rFonts w:cs="Arial"/>
          <w:lang w:val="en-GB"/>
        </w:rPr>
        <w:t xml:space="preserve">.  </w:t>
      </w:r>
      <w:r w:rsidRPr="00EC24F7">
        <w:rPr>
          <w:rFonts w:cs="Arial"/>
          <w:lang w:val="en-GB"/>
        </w:rPr>
        <w:t>The further affidavit was filed as soon as possible given that these allegations are advanced for the first time in reply and a response was specifically called for by Transnet.</w:t>
      </w:r>
      <w:r w:rsidR="00A947DD" w:rsidRPr="00EC24F7">
        <w:rPr>
          <w:rFonts w:cs="Arial"/>
          <w:lang w:val="en-GB"/>
        </w:rPr>
        <w:t xml:space="preserve"> </w:t>
      </w:r>
      <w:r w:rsidRPr="00EC24F7">
        <w:rPr>
          <w:rFonts w:cs="Arial"/>
          <w:lang w:val="en-GB"/>
        </w:rPr>
        <w:t>The further affidavit did not delay the City</w:t>
      </w:r>
      <w:r w:rsidR="00480C7D">
        <w:rPr>
          <w:rFonts w:cs="Arial"/>
          <w:lang w:val="en-GB"/>
        </w:rPr>
        <w:t>’s</w:t>
      </w:r>
      <w:r w:rsidRPr="00EC24F7">
        <w:rPr>
          <w:rFonts w:cs="Arial"/>
          <w:lang w:val="en-GB"/>
        </w:rPr>
        <w:t xml:space="preserve"> heads of argument</w:t>
      </w:r>
      <w:r w:rsidR="00A947DD" w:rsidRPr="00EC24F7">
        <w:rPr>
          <w:rFonts w:cs="Arial"/>
          <w:lang w:val="en-GB"/>
        </w:rPr>
        <w:t xml:space="preserve">.  </w:t>
      </w:r>
      <w:r w:rsidRPr="00EC24F7">
        <w:rPr>
          <w:rFonts w:cs="Arial"/>
          <w:lang w:val="en-GB"/>
        </w:rPr>
        <w:t xml:space="preserve">The issues surrounding the </w:t>
      </w:r>
      <w:r w:rsidR="00377DF8">
        <w:rPr>
          <w:rFonts w:cs="Arial"/>
          <w:lang w:val="en-GB"/>
        </w:rPr>
        <w:t xml:space="preserve">supposed </w:t>
      </w:r>
      <w:r w:rsidRPr="00EC24F7">
        <w:rPr>
          <w:rFonts w:cs="Arial"/>
          <w:lang w:val="en-GB"/>
        </w:rPr>
        <w:t>disclosure of without prejudice negotiations and Transnet’s convenient misstatement of the City’s position insofar as it pertains to eligibility criteria for the Safe Spaces clearly call for a response</w:t>
      </w:r>
      <w:r w:rsidR="00A947DD" w:rsidRPr="00EC24F7">
        <w:rPr>
          <w:rFonts w:cs="Arial"/>
          <w:lang w:val="en-GB"/>
        </w:rPr>
        <w:t xml:space="preserve">. </w:t>
      </w:r>
      <w:r w:rsidR="00377DF8">
        <w:rPr>
          <w:rFonts w:cs="Arial"/>
          <w:lang w:val="en-GB"/>
        </w:rPr>
        <w:t xml:space="preserve"> </w:t>
      </w:r>
      <w:r w:rsidRPr="00EC24F7">
        <w:rPr>
          <w:rFonts w:cs="Arial"/>
          <w:lang w:val="en-GB"/>
        </w:rPr>
        <w:t xml:space="preserve">There is no prejudice to any party in the admission of the further affidavit </w:t>
      </w:r>
      <w:r w:rsidR="00A947DD" w:rsidRPr="00EC24F7">
        <w:rPr>
          <w:rFonts w:cs="Arial"/>
          <w:lang w:val="en-GB"/>
        </w:rPr>
        <w:t xml:space="preserve">and </w:t>
      </w:r>
      <w:r w:rsidR="005C23E6" w:rsidRPr="00EC24F7">
        <w:rPr>
          <w:rFonts w:cs="Arial"/>
          <w:lang w:val="en-GB"/>
        </w:rPr>
        <w:t xml:space="preserve">will not result in a postponement of the hearing. </w:t>
      </w:r>
      <w:r w:rsidR="00377DF8">
        <w:rPr>
          <w:rFonts w:cs="Arial"/>
          <w:lang w:val="en-GB"/>
        </w:rPr>
        <w:t xml:space="preserve"> </w:t>
      </w:r>
      <w:r w:rsidRPr="00EC24F7">
        <w:rPr>
          <w:rFonts w:cs="Arial"/>
          <w:lang w:val="en-GB"/>
        </w:rPr>
        <w:t>Consequently, it is clearly in the interests of justice that the further affidavit be admitted.</w:t>
      </w:r>
      <w:r w:rsidR="005C23E6" w:rsidRPr="00EC24F7">
        <w:rPr>
          <w:rStyle w:val="FootnoteReference"/>
          <w:rFonts w:cs="Arial"/>
          <w:lang w:val="en-GB"/>
        </w:rPr>
        <w:footnoteReference w:id="220"/>
      </w:r>
    </w:p>
    <w:p w14:paraId="56878C97" w14:textId="3FFBA7C6" w:rsidR="00290CDB" w:rsidRPr="00EC24F7" w:rsidRDefault="00290CDB" w:rsidP="00835419">
      <w:pPr>
        <w:numPr>
          <w:ilvl w:val="0"/>
          <w:numId w:val="2"/>
        </w:numPr>
        <w:snapToGrid w:val="0"/>
        <w:spacing w:before="120" w:after="360" w:line="480" w:lineRule="auto"/>
        <w:jc w:val="both"/>
        <w:rPr>
          <w:rFonts w:cs="Arial"/>
          <w:lang w:val="en-GB"/>
        </w:rPr>
      </w:pPr>
      <w:r w:rsidRPr="00EC24F7">
        <w:rPr>
          <w:rFonts w:cs="Arial"/>
          <w:lang w:val="en-GB"/>
        </w:rPr>
        <w:t xml:space="preserve">In the event that the further affidavit is not admitted the City intends to apply to strike out the new matter raised for the first time in </w:t>
      </w:r>
      <w:r w:rsidR="007A435C">
        <w:rPr>
          <w:rFonts w:cs="Arial"/>
          <w:lang w:val="en-GB"/>
        </w:rPr>
        <w:t xml:space="preserve">the </w:t>
      </w:r>
      <w:r w:rsidRPr="00EC24F7">
        <w:rPr>
          <w:rFonts w:cs="Arial"/>
          <w:lang w:val="en-GB"/>
        </w:rPr>
        <w:t>reply</w:t>
      </w:r>
      <w:r w:rsidR="007A435C">
        <w:rPr>
          <w:rFonts w:cs="Arial"/>
          <w:lang w:val="en-GB"/>
        </w:rPr>
        <w:t>ing affidavit</w:t>
      </w:r>
      <w:r w:rsidRPr="00EC24F7">
        <w:rPr>
          <w:rStyle w:val="FootnoteReference"/>
          <w:rFonts w:cs="Arial"/>
          <w:lang w:val="en-GB"/>
        </w:rPr>
        <w:footnoteReference w:id="221"/>
      </w:r>
      <w:r w:rsidR="00835419" w:rsidRPr="00EC24F7">
        <w:rPr>
          <w:rFonts w:cs="Arial"/>
          <w:lang w:val="en-GB"/>
        </w:rPr>
        <w:t xml:space="preserve"> in that </w:t>
      </w:r>
      <w:r w:rsidR="00835419" w:rsidRPr="00EC24F7">
        <w:rPr>
          <w:rFonts w:cs="Arial"/>
          <w:color w:val="242121"/>
          <w:shd w:val="clear" w:color="auto" w:fill="FFFFFF"/>
        </w:rPr>
        <w:t>it</w:t>
      </w:r>
      <w:r w:rsidR="00835419" w:rsidRPr="00EC24F7">
        <w:rPr>
          <w:rFonts w:cs="Arial"/>
          <w:color w:val="242121"/>
          <w:shd w:val="clear" w:color="auto" w:fill="FFFFFF"/>
        </w:rPr>
        <w:t xml:space="preserve"> would be manifestly prejudicial not to allow the City to respond the serious issues raised by Transnet</w:t>
      </w:r>
      <w:r w:rsidR="00835419" w:rsidRPr="00EC24F7">
        <w:rPr>
          <w:rFonts w:cs="Arial"/>
          <w:color w:val="242121"/>
          <w:shd w:val="clear" w:color="auto" w:fill="FFFFFF"/>
        </w:rPr>
        <w:t xml:space="preserve">, and </w:t>
      </w:r>
      <w:r w:rsidR="00835419" w:rsidRPr="00EC24F7">
        <w:rPr>
          <w:rFonts w:cs="Arial"/>
          <w:lang w:val="en-GB"/>
        </w:rPr>
        <w:t>it is impermissible to raise new matter in reply, where Transnet has made out no case for the admission of such new matter.</w:t>
      </w:r>
      <w:r w:rsidR="00835419" w:rsidRPr="00EC24F7">
        <w:rPr>
          <w:rStyle w:val="FootnoteReference"/>
          <w:rFonts w:cs="Arial"/>
          <w:color w:val="242121"/>
          <w:shd w:val="clear" w:color="auto" w:fill="FFFFFF"/>
        </w:rPr>
        <w:footnoteReference w:id="222"/>
      </w:r>
    </w:p>
    <w:p w14:paraId="72FB09B0" w14:textId="6825AF3D" w:rsidR="007D570B" w:rsidRPr="00EC24F7" w:rsidRDefault="007D570B" w:rsidP="007D570B">
      <w:pPr>
        <w:pStyle w:val="Heading1"/>
        <w:rPr>
          <w:rFonts w:cs="Arial"/>
          <w:b w:val="0"/>
          <w:bCs/>
          <w:szCs w:val="24"/>
          <w:lang w:val="en-GB"/>
        </w:rPr>
      </w:pPr>
      <w:bookmarkStart w:id="26" w:name="_Toc225751554"/>
      <w:bookmarkStart w:id="27" w:name="_Toc226040134"/>
      <w:r w:rsidRPr="00EC24F7">
        <w:rPr>
          <w:rFonts w:cs="Arial"/>
          <w:bCs/>
          <w:szCs w:val="24"/>
          <w:lang w:val="en-GB"/>
        </w:rPr>
        <w:lastRenderedPageBreak/>
        <w:t>CONCLUSION</w:t>
      </w:r>
      <w:bookmarkEnd w:id="26"/>
      <w:bookmarkEnd w:id="27"/>
    </w:p>
    <w:p w14:paraId="25D50DAD" w14:textId="37DF4FD5" w:rsidR="00E32CED" w:rsidRPr="00EC24F7" w:rsidRDefault="00A57A04" w:rsidP="00EC24F7">
      <w:pPr>
        <w:pStyle w:val="ListParagraph"/>
        <w:numPr>
          <w:ilvl w:val="0"/>
          <w:numId w:val="2"/>
        </w:numPr>
        <w:spacing w:before="120" w:beforeAutospacing="0" w:after="360" w:afterAutospacing="0" w:line="480" w:lineRule="auto"/>
        <w:jc w:val="both"/>
        <w:rPr>
          <w:rFonts w:cs="Arial"/>
          <w:lang w:val="en-GB"/>
        </w:rPr>
      </w:pPr>
      <w:r w:rsidRPr="00EC24F7">
        <w:rPr>
          <w:rFonts w:cs="Arial"/>
          <w:lang w:val="en-GB"/>
        </w:rPr>
        <w:t xml:space="preserve">The </w:t>
      </w:r>
      <w:r w:rsidR="00AD511C">
        <w:rPr>
          <w:rFonts w:cs="Arial"/>
          <w:lang w:val="en-GB"/>
        </w:rPr>
        <w:t xml:space="preserve">key </w:t>
      </w:r>
      <w:r w:rsidRPr="00EC24F7">
        <w:rPr>
          <w:rFonts w:cs="Arial"/>
          <w:lang w:val="en-GB"/>
        </w:rPr>
        <w:t>issue which arises in this matter</w:t>
      </w:r>
      <w:r w:rsidR="00AD511C">
        <w:rPr>
          <w:rFonts w:cs="Arial"/>
          <w:lang w:val="en-GB"/>
        </w:rPr>
        <w:t xml:space="preserve"> </w:t>
      </w:r>
      <w:r w:rsidRPr="00EC24F7">
        <w:rPr>
          <w:rFonts w:cs="Arial"/>
          <w:lang w:val="en-GB"/>
        </w:rPr>
        <w:t xml:space="preserve">is whether an eviction without an offer of emergency </w:t>
      </w:r>
      <w:r w:rsidR="00E17FE5" w:rsidRPr="00EC24F7">
        <w:rPr>
          <w:rFonts w:cs="Arial"/>
          <w:lang w:val="en-GB"/>
        </w:rPr>
        <w:t>housing to the unlawful occupiers</w:t>
      </w:r>
      <w:r w:rsidRPr="00EC24F7">
        <w:rPr>
          <w:rFonts w:cs="Arial"/>
          <w:lang w:val="en-GB"/>
        </w:rPr>
        <w:t xml:space="preserve"> </w:t>
      </w:r>
      <w:r w:rsidR="00AD511C">
        <w:rPr>
          <w:rFonts w:cs="Arial"/>
          <w:lang w:val="en-GB"/>
        </w:rPr>
        <w:t>is</w:t>
      </w:r>
      <w:r w:rsidRPr="00EC24F7">
        <w:rPr>
          <w:rFonts w:cs="Arial"/>
          <w:lang w:val="en-GB"/>
        </w:rPr>
        <w:t xml:space="preserve"> </w:t>
      </w:r>
      <w:r w:rsidR="008968B9" w:rsidRPr="00EC24F7">
        <w:rPr>
          <w:rFonts w:cs="Arial"/>
          <w:lang w:val="en-GB"/>
        </w:rPr>
        <w:t xml:space="preserve">just and equitable. The City contends that </w:t>
      </w:r>
      <w:r w:rsidR="00E17FE5" w:rsidRPr="00EC24F7">
        <w:rPr>
          <w:rFonts w:cs="Arial"/>
          <w:lang w:val="en-GB"/>
        </w:rPr>
        <w:t>an order of this nature is</w:t>
      </w:r>
      <w:r w:rsidR="008968B9" w:rsidRPr="00EC24F7">
        <w:rPr>
          <w:rFonts w:cs="Arial"/>
          <w:lang w:val="en-GB"/>
        </w:rPr>
        <w:t xml:space="preserve"> just and equitable given that which is set out above. </w:t>
      </w:r>
      <w:r w:rsidR="00E17FE5" w:rsidRPr="00EC24F7">
        <w:rPr>
          <w:rFonts w:cs="Arial"/>
          <w:lang w:val="en-GB"/>
        </w:rPr>
        <w:t xml:space="preserve"> </w:t>
      </w:r>
      <w:r w:rsidR="00EB644C" w:rsidRPr="00EC24F7">
        <w:rPr>
          <w:rFonts w:cs="Arial"/>
          <w:lang w:val="en-GB"/>
        </w:rPr>
        <w:t>The City’s position</w:t>
      </w:r>
      <w:r w:rsidR="001F3B09" w:rsidRPr="00EC24F7">
        <w:rPr>
          <w:rFonts w:cs="Arial"/>
          <w:lang w:val="en-GB"/>
        </w:rPr>
        <w:t xml:space="preserve"> </w:t>
      </w:r>
      <w:r w:rsidR="00EB644C" w:rsidRPr="00EC24F7">
        <w:rPr>
          <w:rFonts w:cs="Arial"/>
          <w:lang w:val="en-GB"/>
        </w:rPr>
        <w:t xml:space="preserve">is </w:t>
      </w:r>
      <w:r w:rsidR="001F3B09" w:rsidRPr="00EC24F7">
        <w:rPr>
          <w:rFonts w:cs="Arial"/>
          <w:lang w:val="en-GB"/>
        </w:rPr>
        <w:t>consistent</w:t>
      </w:r>
      <w:r w:rsidR="00EB644C" w:rsidRPr="00EC24F7">
        <w:rPr>
          <w:rFonts w:cs="Arial"/>
          <w:lang w:val="en-GB"/>
        </w:rPr>
        <w:t xml:space="preserve"> with the </w:t>
      </w:r>
      <w:r w:rsidR="001F3B09" w:rsidRPr="00EC24F7">
        <w:rPr>
          <w:rFonts w:cs="Arial"/>
          <w:lang w:val="en-GB"/>
        </w:rPr>
        <w:t xml:space="preserve">settled </w:t>
      </w:r>
      <w:r w:rsidR="00EB644C" w:rsidRPr="00EC24F7">
        <w:rPr>
          <w:rFonts w:cs="Arial"/>
          <w:lang w:val="en-GB"/>
        </w:rPr>
        <w:t xml:space="preserve">jurisprudence. </w:t>
      </w:r>
      <w:r w:rsidR="00EC24F7" w:rsidRPr="00EC24F7">
        <w:rPr>
          <w:rFonts w:cs="Arial"/>
          <w:lang w:val="en-GB"/>
        </w:rPr>
        <w:t xml:space="preserve"> </w:t>
      </w:r>
      <w:r w:rsidR="00DE5E4D" w:rsidRPr="00EC24F7">
        <w:rPr>
          <w:rFonts w:cs="Arial"/>
          <w:lang w:val="en-GB"/>
        </w:rPr>
        <w:t xml:space="preserve">The City’s facts which, for the reasons traversed above, are uncontroverted militate against ordering </w:t>
      </w:r>
      <w:r w:rsidR="00AB4422" w:rsidRPr="00EC24F7">
        <w:rPr>
          <w:rFonts w:cs="Arial"/>
          <w:lang w:val="en-GB"/>
        </w:rPr>
        <w:t>emergency housing</w:t>
      </w:r>
      <w:r w:rsidR="00DE5E4D" w:rsidRPr="00EC24F7">
        <w:rPr>
          <w:rFonts w:cs="Arial"/>
          <w:lang w:val="en-GB"/>
        </w:rPr>
        <w:t xml:space="preserve">. </w:t>
      </w:r>
      <w:r w:rsidR="002170F0">
        <w:rPr>
          <w:rFonts w:cs="Arial"/>
          <w:lang w:val="en-GB"/>
        </w:rPr>
        <w:t xml:space="preserve"> In the alternative, the City submits that the Langa site is appropriate for this purpose.</w:t>
      </w:r>
    </w:p>
    <w:p w14:paraId="5EBEEEA6" w14:textId="00EA71C2" w:rsidR="00477269" w:rsidRPr="00EC24F7" w:rsidRDefault="002361E5" w:rsidP="00EC24F7">
      <w:pPr>
        <w:spacing w:before="120" w:after="360" w:line="480" w:lineRule="auto"/>
        <w:jc w:val="both"/>
        <w:rPr>
          <w:rFonts w:cs="Arial"/>
          <w:lang w:val="en-GB"/>
        </w:rPr>
      </w:pPr>
      <w:r w:rsidRPr="00EC24F7">
        <w:rPr>
          <w:rFonts w:cs="Arial"/>
          <w:lang w:val="en-GB"/>
        </w:rPr>
        <w:t xml:space="preserve"> </w:t>
      </w:r>
    </w:p>
    <w:p w14:paraId="7944D10E" w14:textId="15161B45" w:rsidR="00560AA3" w:rsidRPr="00EC24F7" w:rsidRDefault="00560AA3" w:rsidP="00EC24F7">
      <w:pPr>
        <w:pStyle w:val="NoSpacing"/>
        <w:spacing w:line="480" w:lineRule="auto"/>
        <w:jc w:val="right"/>
        <w:rPr>
          <w:rFonts w:ascii="Arial" w:hAnsi="Arial" w:cs="Arial"/>
          <w:b/>
          <w:bCs/>
        </w:rPr>
      </w:pPr>
      <w:r w:rsidRPr="00EC24F7">
        <w:rPr>
          <w:rFonts w:ascii="Arial" w:hAnsi="Arial" w:cs="Arial"/>
          <w:b/>
          <w:bCs/>
        </w:rPr>
        <w:t>Mushahida Adhikari</w:t>
      </w:r>
    </w:p>
    <w:p w14:paraId="65462425" w14:textId="237D8D18" w:rsidR="00560AA3" w:rsidRPr="00EC24F7" w:rsidRDefault="00560AA3" w:rsidP="00EC24F7">
      <w:pPr>
        <w:pStyle w:val="NoSpacing"/>
        <w:spacing w:line="480" w:lineRule="auto"/>
        <w:jc w:val="right"/>
        <w:rPr>
          <w:rFonts w:ascii="Arial" w:hAnsi="Arial" w:cs="Arial"/>
          <w:b/>
          <w:bCs/>
        </w:rPr>
      </w:pPr>
      <w:r w:rsidRPr="00EC24F7">
        <w:rPr>
          <w:rFonts w:ascii="Arial" w:hAnsi="Arial" w:cs="Arial"/>
          <w:b/>
          <w:bCs/>
        </w:rPr>
        <w:t xml:space="preserve">Muhammad Ebrahim </w:t>
      </w:r>
    </w:p>
    <w:p w14:paraId="7AB8BBFE" w14:textId="77777777" w:rsidR="00EC24F7" w:rsidRPr="00EC24F7" w:rsidRDefault="00EC24F7" w:rsidP="00EC24F7">
      <w:pPr>
        <w:pStyle w:val="NoSpacing"/>
        <w:spacing w:line="480" w:lineRule="auto"/>
        <w:jc w:val="right"/>
        <w:rPr>
          <w:rFonts w:ascii="Arial" w:hAnsi="Arial" w:cs="Arial"/>
        </w:rPr>
      </w:pPr>
    </w:p>
    <w:p w14:paraId="21F0E76B" w14:textId="6B8C26C8" w:rsidR="00560AA3" w:rsidRPr="00EC24F7" w:rsidRDefault="00560AA3" w:rsidP="00EC24F7">
      <w:pPr>
        <w:pStyle w:val="NoSpacing"/>
        <w:spacing w:line="480" w:lineRule="auto"/>
        <w:jc w:val="right"/>
        <w:rPr>
          <w:rFonts w:ascii="Arial" w:hAnsi="Arial" w:cs="Arial"/>
        </w:rPr>
      </w:pPr>
      <w:r w:rsidRPr="00EC24F7">
        <w:rPr>
          <w:rFonts w:ascii="Arial" w:hAnsi="Arial" w:cs="Arial"/>
        </w:rPr>
        <w:t xml:space="preserve">Chambers, Cape Town </w:t>
      </w:r>
    </w:p>
    <w:p w14:paraId="4B7377A5" w14:textId="026E93E3" w:rsidR="00560AA3" w:rsidRPr="00EC24F7" w:rsidRDefault="00560AA3" w:rsidP="00EC24F7">
      <w:pPr>
        <w:pStyle w:val="NoSpacing"/>
        <w:spacing w:line="480" w:lineRule="auto"/>
        <w:jc w:val="right"/>
        <w:rPr>
          <w:rFonts w:ascii="Arial" w:hAnsi="Arial" w:cs="Arial"/>
        </w:rPr>
      </w:pPr>
      <w:r w:rsidRPr="00EC24F7">
        <w:rPr>
          <w:rFonts w:ascii="Arial" w:hAnsi="Arial" w:cs="Arial"/>
        </w:rPr>
        <w:t>2 April 2026.</w:t>
      </w:r>
    </w:p>
    <w:p w14:paraId="31B3A105" w14:textId="77777777" w:rsidR="00560AA3" w:rsidRPr="00EC24F7" w:rsidRDefault="00560AA3" w:rsidP="00EC24F7">
      <w:pPr>
        <w:pStyle w:val="ListParagraph"/>
        <w:spacing w:before="120" w:beforeAutospacing="0" w:after="360" w:afterAutospacing="0" w:line="480" w:lineRule="auto"/>
        <w:ind w:left="720"/>
        <w:jc w:val="right"/>
        <w:rPr>
          <w:rFonts w:cs="Arial"/>
          <w:lang w:val="en-GB"/>
        </w:rPr>
      </w:pPr>
    </w:p>
    <w:p w14:paraId="1041BAE1" w14:textId="77777777" w:rsidR="002E4DF8" w:rsidRPr="00EC24F7" w:rsidRDefault="002E4DF8" w:rsidP="00560AA3">
      <w:pPr>
        <w:pStyle w:val="ListParagraph"/>
        <w:spacing w:before="120" w:beforeAutospacing="0" w:after="360" w:afterAutospacing="0" w:line="480" w:lineRule="auto"/>
        <w:ind w:left="720"/>
        <w:jc w:val="right"/>
        <w:rPr>
          <w:rFonts w:cs="Arial"/>
          <w:lang w:val="en-GB"/>
        </w:rPr>
      </w:pPr>
    </w:p>
    <w:p w14:paraId="6E901AD9" w14:textId="77777777" w:rsidR="002E4DF8" w:rsidRPr="00EC24F7" w:rsidRDefault="002E4DF8" w:rsidP="00560AA3">
      <w:pPr>
        <w:pStyle w:val="ListParagraph"/>
        <w:spacing w:before="120" w:beforeAutospacing="0" w:after="360" w:afterAutospacing="0" w:line="480" w:lineRule="auto"/>
        <w:ind w:left="720"/>
        <w:jc w:val="right"/>
        <w:rPr>
          <w:rFonts w:cs="Arial"/>
          <w:lang w:val="en-GB"/>
        </w:rPr>
      </w:pPr>
    </w:p>
    <w:p w14:paraId="539AD23A" w14:textId="77777777" w:rsidR="002E4DF8" w:rsidRPr="00EC24F7" w:rsidRDefault="002E4DF8" w:rsidP="00560AA3">
      <w:pPr>
        <w:pStyle w:val="ListParagraph"/>
        <w:spacing w:before="120" w:beforeAutospacing="0" w:after="360" w:afterAutospacing="0" w:line="480" w:lineRule="auto"/>
        <w:ind w:left="720"/>
        <w:jc w:val="right"/>
        <w:rPr>
          <w:rFonts w:cs="Arial"/>
          <w:lang w:val="en-GB"/>
        </w:rPr>
      </w:pPr>
    </w:p>
    <w:p w14:paraId="7F2114AB" w14:textId="77777777" w:rsidR="00477269" w:rsidRPr="00EC24F7" w:rsidRDefault="00477269" w:rsidP="00560AA3">
      <w:pPr>
        <w:pStyle w:val="ListParagraph"/>
        <w:spacing w:before="120" w:beforeAutospacing="0" w:after="360" w:afterAutospacing="0" w:line="480" w:lineRule="auto"/>
        <w:ind w:left="720"/>
        <w:jc w:val="right"/>
        <w:rPr>
          <w:rFonts w:cs="Arial"/>
          <w:lang w:val="en-GB"/>
        </w:rPr>
      </w:pPr>
    </w:p>
    <w:p w14:paraId="3384767D" w14:textId="73735D3F" w:rsidR="002E4DF8" w:rsidRPr="00EC24F7" w:rsidRDefault="002E4DF8" w:rsidP="002E4DF8">
      <w:pPr>
        <w:spacing w:before="120" w:after="360" w:line="480" w:lineRule="auto"/>
        <w:rPr>
          <w:rFonts w:cs="Arial"/>
          <w:b/>
          <w:bCs/>
          <w:lang w:val="en-GB"/>
        </w:rPr>
      </w:pPr>
      <w:r w:rsidRPr="00EC24F7">
        <w:rPr>
          <w:rFonts w:cs="Arial"/>
          <w:b/>
          <w:bCs/>
          <w:lang w:val="en-GB"/>
        </w:rPr>
        <w:t xml:space="preserve">LIST OF AUTHORITIES </w:t>
      </w:r>
    </w:p>
    <w:p w14:paraId="23C6532F"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lastRenderedPageBreak/>
        <w:t xml:space="preserve">Occupiers of Erven 87 and 88 Berea v De Wet N.O and Another </w:t>
      </w:r>
      <w:r w:rsidRPr="007C356D">
        <w:rPr>
          <w:rFonts w:cs="Arial"/>
          <w:color w:val="000000" w:themeColor="text1"/>
          <w:sz w:val="22"/>
          <w:szCs w:val="22"/>
        </w:rPr>
        <w:t>2017 (5) SA 346 (CC).</w:t>
      </w:r>
    </w:p>
    <w:p w14:paraId="3B9FB1E0"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lang w:val="en-US"/>
        </w:rPr>
        <w:t xml:space="preserve">Gerhardt v State President </w:t>
      </w:r>
      <w:r w:rsidRPr="007C356D">
        <w:rPr>
          <w:rFonts w:cs="Arial"/>
          <w:color w:val="000000" w:themeColor="text1"/>
          <w:sz w:val="22"/>
          <w:szCs w:val="22"/>
          <w:lang w:val="en-US"/>
        </w:rPr>
        <w:t>1989 (2) SA 499 (T)</w:t>
      </w:r>
      <w:r w:rsidRPr="007C356D">
        <w:rPr>
          <w:rFonts w:cs="Arial"/>
          <w:color w:val="000000" w:themeColor="text1"/>
          <w:sz w:val="22"/>
          <w:szCs w:val="22"/>
        </w:rPr>
        <w:t>.</w:t>
      </w:r>
    </w:p>
    <w:p w14:paraId="2261B8FC" w14:textId="343507C9"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lang w:val="en-CA"/>
        </w:rPr>
        <w:t>President of the Republic of South Africa and Others v South African Rugby Football Union and Others</w:t>
      </w:r>
      <w:r w:rsidRPr="007C356D">
        <w:rPr>
          <w:rFonts w:cs="Arial"/>
          <w:color w:val="000000" w:themeColor="text1"/>
          <w:sz w:val="22"/>
          <w:szCs w:val="22"/>
          <w:lang w:val="en-CA"/>
        </w:rPr>
        <w:t xml:space="preserve"> 2000 (1) SA 1 (CC). </w:t>
      </w:r>
    </w:p>
    <w:p w14:paraId="72D6A837" w14:textId="340B6B3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t>Competition Commission v Wilmar Continental Edible Oils &amp; Fats (Pty) Ltd and Others</w:t>
      </w:r>
      <w:r w:rsidRPr="007C356D">
        <w:rPr>
          <w:rFonts w:cs="Arial"/>
          <w:color w:val="000000" w:themeColor="text1"/>
          <w:sz w:val="22"/>
          <w:szCs w:val="22"/>
        </w:rPr>
        <w:t xml:space="preserve"> 2020 (4) SA 527 (KZP)</w:t>
      </w:r>
      <w:r w:rsidRPr="007C356D">
        <w:rPr>
          <w:rFonts w:cs="Arial"/>
          <w:color w:val="000000" w:themeColor="text1"/>
          <w:sz w:val="22"/>
          <w:szCs w:val="22"/>
        </w:rPr>
        <w:t>.</w:t>
      </w:r>
    </w:p>
    <w:p w14:paraId="0906358B" w14:textId="4A37B8F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t>Von Abo v Government of the Republic of South Africa and Others</w:t>
      </w:r>
      <w:r w:rsidRPr="007C356D">
        <w:rPr>
          <w:rFonts w:cs="Arial"/>
          <w:color w:val="000000" w:themeColor="text1"/>
          <w:sz w:val="22"/>
          <w:szCs w:val="22"/>
        </w:rPr>
        <w:t> 2009 (2) SA 526 (T)</w:t>
      </w:r>
      <w:r w:rsidRPr="007C356D">
        <w:rPr>
          <w:rFonts w:cs="Arial"/>
          <w:color w:val="000000" w:themeColor="text1"/>
          <w:sz w:val="22"/>
          <w:szCs w:val="22"/>
        </w:rPr>
        <w:t>.</w:t>
      </w:r>
    </w:p>
    <w:p w14:paraId="04FE1420"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t>Tantoush v Refugee Appeal Board and Others</w:t>
      </w:r>
      <w:r w:rsidRPr="007C356D">
        <w:rPr>
          <w:rFonts w:cs="Arial"/>
          <w:color w:val="000000" w:themeColor="text1"/>
          <w:sz w:val="22"/>
          <w:szCs w:val="22"/>
        </w:rPr>
        <w:t xml:space="preserve"> 2008 (1) SA 232 (T)</w:t>
      </w:r>
      <w:r w:rsidRPr="007C356D">
        <w:rPr>
          <w:rFonts w:cs="Arial"/>
          <w:color w:val="000000" w:themeColor="text1"/>
          <w:sz w:val="22"/>
          <w:szCs w:val="22"/>
        </w:rPr>
        <w:t>.</w:t>
      </w:r>
      <w:r w:rsidRPr="007C356D">
        <w:rPr>
          <w:rFonts w:cs="Arial"/>
          <w:color w:val="000000" w:themeColor="text1"/>
          <w:sz w:val="22"/>
          <w:szCs w:val="22"/>
        </w:rPr>
        <w:t xml:space="preserve"> </w:t>
      </w:r>
    </w:p>
    <w:p w14:paraId="4B18ECAF" w14:textId="0F4EF2D4"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color w:val="000000" w:themeColor="text1"/>
          <w:sz w:val="22"/>
          <w:szCs w:val="22"/>
        </w:rPr>
        <w:t>Langham and Another NNO v Milne NO and Others</w:t>
      </w:r>
      <w:r w:rsidRPr="007C356D">
        <w:rPr>
          <w:rFonts w:cs="Arial"/>
          <w:color w:val="000000" w:themeColor="text1"/>
          <w:sz w:val="22"/>
          <w:szCs w:val="22"/>
        </w:rPr>
        <w:t> 1961 (1) SA 811 (N).</w:t>
      </w:r>
    </w:p>
    <w:p w14:paraId="120070F8"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color w:val="000000" w:themeColor="text1"/>
          <w:sz w:val="22"/>
          <w:szCs w:val="22"/>
          <w:lang w:val="en-GB"/>
        </w:rPr>
        <w:t>Transnet Ltd v Rubenstein</w:t>
      </w:r>
      <w:r w:rsidRPr="007C356D">
        <w:rPr>
          <w:rFonts w:cs="Arial"/>
          <w:color w:val="000000" w:themeColor="text1"/>
          <w:sz w:val="22"/>
          <w:szCs w:val="22"/>
          <w:lang w:val="en-GB"/>
        </w:rPr>
        <w:t xml:space="preserve"> 2006 (1) SA 591 (SCA).</w:t>
      </w:r>
    </w:p>
    <w:p w14:paraId="6EC5F1B3"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color w:val="000000" w:themeColor="text1"/>
          <w:sz w:val="22"/>
          <w:szCs w:val="22"/>
        </w:rPr>
        <w:t>Luanga v Perth Park Properties Ltd</w:t>
      </w:r>
      <w:r w:rsidRPr="007C356D">
        <w:rPr>
          <w:rFonts w:cs="Arial"/>
          <w:color w:val="000000" w:themeColor="text1"/>
          <w:sz w:val="22"/>
          <w:szCs w:val="22"/>
        </w:rPr>
        <w:t xml:space="preserve"> 2019 (3) SA 214 (WCC). </w:t>
      </w:r>
    </w:p>
    <w:p w14:paraId="4B326288"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lang w:val="en-US"/>
        </w:rPr>
        <w:t xml:space="preserve">Rowland and Others v Logos Carriers CC </w:t>
      </w:r>
      <w:r w:rsidRPr="007C356D">
        <w:rPr>
          <w:rFonts w:cs="Arial"/>
          <w:color w:val="000000" w:themeColor="text1"/>
          <w:sz w:val="22"/>
          <w:szCs w:val="22"/>
          <w:lang w:val="en-US"/>
        </w:rPr>
        <w:t>276/2024 [2026] ZASCA 36 (24 March 2026).</w:t>
      </w:r>
    </w:p>
    <w:p w14:paraId="41975C2A" w14:textId="0EC0E40A"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vanish/>
          <w:color w:val="000000" w:themeColor="text1"/>
          <w:sz w:val="22"/>
          <w:szCs w:val="22"/>
          <w:lang w:eastAsia="en-ZA"/>
        </w:rPr>
        <w:t xml:space="preserve">Ocean Accident and Guarantee Corporation Ltd v Koch </w:t>
      </w:r>
      <w:r w:rsidRPr="007C356D">
        <w:rPr>
          <w:rFonts w:cs="Arial"/>
          <w:vanish/>
          <w:color w:val="000000" w:themeColor="text1"/>
          <w:sz w:val="22"/>
          <w:szCs w:val="22"/>
          <w:lang w:eastAsia="en-ZA"/>
        </w:rPr>
        <w:t>1963 (4) SA 147 (A)</w:t>
      </w:r>
      <w:r w:rsidRPr="007C356D">
        <w:rPr>
          <w:rFonts w:cs="Arial"/>
          <w:vanish/>
          <w:color w:val="000000" w:themeColor="text1"/>
          <w:sz w:val="22"/>
          <w:szCs w:val="22"/>
          <w:lang w:eastAsia="en-ZA"/>
        </w:rPr>
        <w:t>.</w:t>
      </w:r>
    </w:p>
    <w:p w14:paraId="18A7213D"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lang w:eastAsia="en-ZA"/>
        </w:rPr>
        <w:t>Govan v Skidmore</w:t>
      </w:r>
      <w:r w:rsidRPr="007C356D">
        <w:rPr>
          <w:rFonts w:cs="Arial"/>
          <w:color w:val="000000" w:themeColor="text1"/>
          <w:sz w:val="22"/>
          <w:szCs w:val="22"/>
          <w:lang w:val="en-US"/>
        </w:rPr>
        <w:t xml:space="preserve"> </w:t>
      </w:r>
      <w:r w:rsidRPr="007C356D">
        <w:rPr>
          <w:rFonts w:cs="Arial"/>
          <w:vanish/>
          <w:color w:val="000000" w:themeColor="text1"/>
          <w:sz w:val="22"/>
          <w:szCs w:val="22"/>
          <w:lang w:eastAsia="en-ZA"/>
        </w:rPr>
        <w:t>1952 (1) SA 732 (N)</w:t>
      </w:r>
      <w:r w:rsidRPr="007C356D">
        <w:rPr>
          <w:rFonts w:cs="Arial"/>
          <w:i/>
          <w:iCs/>
          <w:vanish/>
          <w:color w:val="000000" w:themeColor="text1"/>
          <w:sz w:val="22"/>
          <w:szCs w:val="22"/>
          <w:lang w:eastAsia="en-ZA"/>
        </w:rPr>
        <w:t>.</w:t>
      </w:r>
    </w:p>
    <w:p w14:paraId="0FBB9E9D"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t>AA Onderlinge Assuransie-Assosiasie Bpk v De Beer</w:t>
      </w:r>
      <w:r w:rsidRPr="007C356D">
        <w:rPr>
          <w:rFonts w:cs="Arial"/>
          <w:color w:val="000000" w:themeColor="text1"/>
          <w:sz w:val="22"/>
          <w:szCs w:val="22"/>
        </w:rPr>
        <w:t xml:space="preserve"> 1982 (2) SA 603 (A).</w:t>
      </w:r>
    </w:p>
    <w:p w14:paraId="783C1024"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lang w:eastAsia="en-ZA"/>
        </w:rPr>
        <w:t xml:space="preserve">Cooper &amp; Another NNO v Merchant Trade Finance Ltd </w:t>
      </w:r>
      <w:r w:rsidRPr="007C356D">
        <w:rPr>
          <w:rFonts w:cs="Arial"/>
          <w:vanish/>
          <w:color w:val="000000" w:themeColor="text1"/>
          <w:sz w:val="22"/>
          <w:szCs w:val="22"/>
          <w:lang w:eastAsia="en-ZA"/>
        </w:rPr>
        <w:t>2000 (3) SA 1009 (SCA</w:t>
      </w:r>
      <w:r w:rsidRPr="007C356D">
        <w:rPr>
          <w:rFonts w:cs="Arial"/>
          <w:vanish/>
          <w:color w:val="000000" w:themeColor="text1"/>
          <w:sz w:val="22"/>
          <w:szCs w:val="22"/>
          <w:lang w:eastAsia="en-ZA"/>
        </w:rPr>
        <w:t>)</w:t>
      </w:r>
      <w:r w:rsidRPr="007C356D">
        <w:rPr>
          <w:rFonts w:cs="Arial"/>
          <w:vanish/>
          <w:color w:val="000000" w:themeColor="text1"/>
          <w:sz w:val="22"/>
          <w:szCs w:val="22"/>
          <w:lang w:eastAsia="en-ZA"/>
        </w:rPr>
        <w:t>.</w:t>
      </w:r>
    </w:p>
    <w:p w14:paraId="2A48FC32"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color w:val="000000" w:themeColor="text1"/>
          <w:sz w:val="22"/>
          <w:szCs w:val="22"/>
        </w:rPr>
        <w:t>Pretoria Portland Cement Company Ltd. and Another v Competition Commission and Others</w:t>
      </w:r>
      <w:r w:rsidRPr="007C356D">
        <w:rPr>
          <w:rFonts w:cs="Arial"/>
          <w:color w:val="000000" w:themeColor="text1"/>
          <w:sz w:val="22"/>
          <w:szCs w:val="22"/>
        </w:rPr>
        <w:t> 2003 (2) SA 385 (SCA)</w:t>
      </w:r>
      <w:r w:rsidRPr="007C356D">
        <w:rPr>
          <w:rFonts w:cs="Arial"/>
          <w:color w:val="000000" w:themeColor="text1"/>
          <w:sz w:val="22"/>
          <w:szCs w:val="22"/>
        </w:rPr>
        <w:t>.</w:t>
      </w:r>
    </w:p>
    <w:p w14:paraId="5EB9CFE0"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color w:val="000000" w:themeColor="text1"/>
          <w:sz w:val="22"/>
          <w:szCs w:val="22"/>
        </w:rPr>
        <w:t>Thint (Pty) Ltd v National Director of Public Prosecutions and Others, Zuma and Another v National Director of Public Prosecutions and Others</w:t>
      </w:r>
      <w:r w:rsidRPr="007C356D">
        <w:rPr>
          <w:rFonts w:cs="Arial"/>
          <w:i/>
          <w:iCs/>
          <w:color w:val="000000" w:themeColor="text1"/>
          <w:sz w:val="22"/>
          <w:szCs w:val="22"/>
        </w:rPr>
        <w:t> </w:t>
      </w:r>
      <w:r w:rsidRPr="007C356D">
        <w:rPr>
          <w:rFonts w:cs="Arial"/>
          <w:iCs/>
          <w:color w:val="000000" w:themeColor="text1"/>
          <w:sz w:val="22"/>
          <w:szCs w:val="22"/>
        </w:rPr>
        <w:t>2009 (1) SA 1 (CC).</w:t>
      </w:r>
    </w:p>
    <w:p w14:paraId="2A50A813"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lang w:val="en-US"/>
        </w:rPr>
        <w:t xml:space="preserve">Wightman t/a JW Construction v Headfour (Pty) Ltd and Another </w:t>
      </w:r>
      <w:r w:rsidRPr="007C356D">
        <w:rPr>
          <w:rFonts w:cs="Arial"/>
          <w:color w:val="000000" w:themeColor="text1"/>
          <w:sz w:val="22"/>
          <w:szCs w:val="22"/>
          <w:lang w:val="en-US"/>
        </w:rPr>
        <w:t>2008 (3) SA 371 (SCA).</w:t>
      </w:r>
    </w:p>
    <w:p w14:paraId="08A94690"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lang w:val="en-US"/>
        </w:rPr>
        <w:t>NDPP v Zuma</w:t>
      </w:r>
      <w:r w:rsidRPr="007C356D">
        <w:rPr>
          <w:rFonts w:cs="Arial"/>
          <w:color w:val="000000" w:themeColor="text1"/>
          <w:sz w:val="22"/>
          <w:szCs w:val="22"/>
          <w:lang w:val="en-US"/>
        </w:rPr>
        <w:t xml:space="preserve"> 2009 (2) SA 277 (SCA).</w:t>
      </w:r>
    </w:p>
    <w:p w14:paraId="2B54B6F9"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lang w:val="en-US"/>
        </w:rPr>
        <w:t xml:space="preserve">Shabalala and Others v Attorney-General of the Transvaal and Another </w:t>
      </w:r>
      <w:r w:rsidRPr="007C356D">
        <w:rPr>
          <w:rFonts w:cs="Arial"/>
          <w:color w:val="000000" w:themeColor="text1"/>
          <w:sz w:val="22"/>
          <w:szCs w:val="22"/>
          <w:lang w:val="en-US"/>
        </w:rPr>
        <w:t>1996 (1) SA 725</w:t>
      </w:r>
    </w:p>
    <w:p w14:paraId="4EEBB6C8"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lastRenderedPageBreak/>
        <w:t xml:space="preserve">The Construction </w:t>
      </w:r>
      <w:r w:rsidRPr="007C356D">
        <w:rPr>
          <w:rFonts w:cs="Arial"/>
          <w:i/>
          <w:iCs/>
          <w:color w:val="000000" w:themeColor="text1"/>
          <w:sz w:val="22"/>
          <w:szCs w:val="22"/>
          <w:lang w:val="en-GB"/>
        </w:rPr>
        <w:t>Company (Pty) Ltd v City of Cape Town and Others</w:t>
      </w:r>
      <w:r w:rsidRPr="007C356D">
        <w:rPr>
          <w:rFonts w:cs="Arial"/>
          <w:color w:val="000000" w:themeColor="text1"/>
          <w:sz w:val="22"/>
          <w:szCs w:val="22"/>
          <w:lang w:val="en-GB"/>
        </w:rPr>
        <w:t xml:space="preserve"> (2950/2024 22951/2023)</w:t>
      </w:r>
      <w:r w:rsidRPr="007C356D">
        <w:rPr>
          <w:rFonts w:cs="Arial"/>
          <w:color w:val="000000" w:themeColor="text1"/>
          <w:sz w:val="22"/>
          <w:szCs w:val="22"/>
          <w:lang w:val="en-US"/>
        </w:rPr>
        <w:t xml:space="preserve"> [2025] ZAWCHC 552 (26 November 2025)</w:t>
      </w:r>
      <w:r w:rsidRPr="007C356D">
        <w:rPr>
          <w:rFonts w:cs="Arial"/>
          <w:color w:val="000000" w:themeColor="text1"/>
          <w:sz w:val="22"/>
          <w:szCs w:val="22"/>
          <w:lang w:val="en-US"/>
        </w:rPr>
        <w:t>.</w:t>
      </w:r>
    </w:p>
    <w:p w14:paraId="065A828F"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t xml:space="preserve">City of Johannesburg v Changing Tides 74 (Pty) Ltd and Others </w:t>
      </w:r>
      <w:r w:rsidRPr="007C356D">
        <w:rPr>
          <w:rFonts w:cs="Arial"/>
          <w:color w:val="000000" w:themeColor="text1"/>
          <w:sz w:val="22"/>
          <w:szCs w:val="22"/>
        </w:rPr>
        <w:t>2012 (6) SA 294 (SCA).</w:t>
      </w:r>
    </w:p>
    <w:p w14:paraId="6B9BB811" w14:textId="77777777"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t>Government of the Republic of South Africa and Others v Grootboom and Others</w:t>
      </w:r>
      <w:r w:rsidRPr="007C356D">
        <w:rPr>
          <w:rFonts w:cs="Arial"/>
          <w:color w:val="000000" w:themeColor="text1"/>
          <w:sz w:val="22"/>
          <w:szCs w:val="22"/>
        </w:rPr>
        <w:t> 2001 (1) SA 46 (CC)</w:t>
      </w:r>
      <w:r w:rsidRPr="007C356D">
        <w:rPr>
          <w:rFonts w:cs="Arial"/>
          <w:color w:val="000000" w:themeColor="text1"/>
          <w:sz w:val="22"/>
          <w:szCs w:val="22"/>
        </w:rPr>
        <w:t>.</w:t>
      </w:r>
    </w:p>
    <w:p w14:paraId="36CD1007" w14:textId="39B0FF76"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t>Port Elizabeth Municipality v Various Occupiers</w:t>
      </w:r>
      <w:r w:rsidRPr="007C356D">
        <w:rPr>
          <w:rFonts w:cs="Arial"/>
          <w:color w:val="000000" w:themeColor="text1"/>
          <w:sz w:val="22"/>
          <w:szCs w:val="22"/>
        </w:rPr>
        <w:t> 2005 (1) SA 217 (CC).</w:t>
      </w:r>
    </w:p>
    <w:p w14:paraId="59BEEF0D" w14:textId="1AC2107F"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Residents of Joe Slovo Community, Western Cape v Thubelisha Homes and Others (Centre on Housing Rights and Evictions and Another, Amici Curiae)</w:t>
      </w:r>
      <w:r w:rsidRPr="007C356D">
        <w:rPr>
          <w:rFonts w:cs="Arial"/>
          <w:sz w:val="22"/>
          <w:szCs w:val="22"/>
        </w:rPr>
        <w:t> 2010 (3) SA 454 (CC).</w:t>
      </w:r>
    </w:p>
    <w:p w14:paraId="7268B721" w14:textId="77777777" w:rsidR="003B1AD3"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Occupiers of 51 Olivia Road, Berea Township, and 197 Main Street, Johannesburg v City of Johannesburg and Others</w:t>
      </w:r>
      <w:r w:rsidRPr="007C356D">
        <w:rPr>
          <w:rFonts w:cs="Arial"/>
          <w:sz w:val="22"/>
          <w:szCs w:val="22"/>
        </w:rPr>
        <w:t> 2008 (3) SA 208 (CC).</w:t>
      </w:r>
    </w:p>
    <w:p w14:paraId="480AD0D4" w14:textId="77777777" w:rsidR="00857E03"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color w:val="000000" w:themeColor="text1"/>
          <w:sz w:val="22"/>
          <w:szCs w:val="22"/>
          <w:lang w:val="en-US"/>
        </w:rPr>
        <w:t xml:space="preserve">Ekurhuleni Metropolitan Municipality and Another v Various Occupiers, Eden Park Extension 5 </w:t>
      </w:r>
      <w:r w:rsidRPr="007C356D">
        <w:rPr>
          <w:rFonts w:cs="Arial"/>
          <w:color w:val="000000" w:themeColor="text1"/>
          <w:sz w:val="22"/>
          <w:szCs w:val="22"/>
          <w:lang w:val="en-US"/>
        </w:rPr>
        <w:t>2014 (3) SA 23 (SCA).</w:t>
      </w:r>
    </w:p>
    <w:p w14:paraId="21545745" w14:textId="77777777" w:rsidR="00857E03"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City of Johannesburg Metropolitan Municipality v Blue Moonlight Properties 39 (Pty) Ltd and Another</w:t>
      </w:r>
      <w:r w:rsidRPr="007C356D">
        <w:rPr>
          <w:rFonts w:cs="Arial"/>
          <w:sz w:val="22"/>
          <w:szCs w:val="22"/>
        </w:rPr>
        <w:t xml:space="preserve"> 2012 (2) SA 104 (CC).</w:t>
      </w:r>
    </w:p>
    <w:p w14:paraId="32BC5DD4" w14:textId="77777777" w:rsidR="00857E03"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 xml:space="preserve">Chief </w:t>
      </w:r>
      <w:r w:rsidRPr="007C356D">
        <w:rPr>
          <w:rFonts w:cs="Arial"/>
          <w:i/>
          <w:sz w:val="22"/>
          <w:szCs w:val="22"/>
        </w:rPr>
        <w:t xml:space="preserve">Lesapo v North West Agricultural Bank and Another </w:t>
      </w:r>
      <w:r w:rsidRPr="007C356D">
        <w:rPr>
          <w:rFonts w:cs="Arial"/>
          <w:sz w:val="22"/>
          <w:szCs w:val="22"/>
        </w:rPr>
        <w:t xml:space="preserve">2000 (1) SA 409 (CC), paras 11, 18 and 22.  </w:t>
      </w:r>
    </w:p>
    <w:p w14:paraId="7C4C529C" w14:textId="77777777" w:rsidR="00857E03"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sz w:val="22"/>
          <w:szCs w:val="22"/>
        </w:rPr>
        <w:t xml:space="preserve">Zondi v MEC for Traditional and Local Government Affairs and Others </w:t>
      </w:r>
      <w:r w:rsidRPr="007C356D">
        <w:rPr>
          <w:rFonts w:cs="Arial"/>
          <w:sz w:val="22"/>
          <w:szCs w:val="22"/>
        </w:rPr>
        <w:t xml:space="preserve">2005 (3) SA 589 (CC). </w:t>
      </w:r>
    </w:p>
    <w:p w14:paraId="71037DDC" w14:textId="0A39475D" w:rsidR="00AD7DD5"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sz w:val="22"/>
          <w:szCs w:val="22"/>
        </w:rPr>
        <w:t xml:space="preserve">President of the Republic of South Africa v Modderklip Boerdery (Pty) Ltd </w:t>
      </w:r>
      <w:r w:rsidRPr="007C356D">
        <w:rPr>
          <w:rFonts w:cs="Arial"/>
          <w:sz w:val="22"/>
          <w:szCs w:val="22"/>
        </w:rPr>
        <w:t>2005 (3) SA 3 (CC)</w:t>
      </w:r>
      <w:r w:rsidR="00AD7DD5" w:rsidRPr="007C356D">
        <w:rPr>
          <w:rFonts w:cs="Arial"/>
          <w:sz w:val="22"/>
          <w:szCs w:val="22"/>
        </w:rPr>
        <w:t>.</w:t>
      </w:r>
    </w:p>
    <w:p w14:paraId="21EBFE8A" w14:textId="77777777" w:rsidR="00AD7DD5"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sz w:val="22"/>
          <w:szCs w:val="22"/>
        </w:rPr>
        <w:t xml:space="preserve">City of Cape Town v Unlawful Occupiers, Erf 1800 Capricorn </w:t>
      </w:r>
      <w:r w:rsidRPr="007C356D">
        <w:rPr>
          <w:rFonts w:cs="Arial"/>
          <w:sz w:val="22"/>
          <w:szCs w:val="22"/>
        </w:rPr>
        <w:t>2003 (6) SA 140 (C).</w:t>
      </w:r>
    </w:p>
    <w:p w14:paraId="15CFFFB8" w14:textId="77777777" w:rsidR="00AD7DD5"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sz w:val="22"/>
          <w:szCs w:val="22"/>
        </w:rPr>
        <w:t xml:space="preserve">Gundwana v Steko Development and Others </w:t>
      </w:r>
      <w:r w:rsidRPr="007C356D">
        <w:rPr>
          <w:rFonts w:cs="Arial"/>
          <w:sz w:val="22"/>
          <w:szCs w:val="22"/>
        </w:rPr>
        <w:t>2011 (3) SA 608 (CC).</w:t>
      </w:r>
    </w:p>
    <w:p w14:paraId="2FBB1DE6"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Khoza and Others v Vosloo and Others</w:t>
      </w:r>
      <w:r w:rsidRPr="007C356D">
        <w:rPr>
          <w:rFonts w:cs="Arial"/>
          <w:color w:val="000000" w:themeColor="text1"/>
          <w:sz w:val="22"/>
          <w:szCs w:val="22"/>
          <w:lang w:val="en-US"/>
        </w:rPr>
        <w:t xml:space="preserve"> [2025] ZAGPJHC 468 (8 May 2025).</w:t>
      </w:r>
    </w:p>
    <w:p w14:paraId="19219926"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Commando and Others v City of Cape Town and Another</w:t>
      </w:r>
      <w:r w:rsidRPr="007C356D">
        <w:rPr>
          <w:rFonts w:cs="Arial"/>
          <w:sz w:val="22"/>
          <w:szCs w:val="22"/>
        </w:rPr>
        <w:t xml:space="preserve"> 2025 (3) SA 1 (CC).</w:t>
      </w:r>
    </w:p>
    <w:p w14:paraId="5387E51D"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lastRenderedPageBreak/>
        <w:t>Daniels v Scribante</w:t>
      </w:r>
      <w:r w:rsidRPr="007C356D">
        <w:rPr>
          <w:rFonts w:cs="Arial"/>
          <w:color w:val="000000" w:themeColor="text1"/>
          <w:sz w:val="22"/>
          <w:szCs w:val="22"/>
        </w:rPr>
        <w:t> 2017 (4) SA 341 (CC).</w:t>
      </w:r>
    </w:p>
    <w:p w14:paraId="2A78A303"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t>Ndlovu v Ngcobo; Bekker and Another v Jika</w:t>
      </w:r>
      <w:r w:rsidRPr="007C356D">
        <w:rPr>
          <w:rFonts w:cs="Arial"/>
          <w:color w:val="000000" w:themeColor="text1"/>
          <w:sz w:val="22"/>
          <w:szCs w:val="22"/>
        </w:rPr>
        <w:t xml:space="preserve"> 2003 (1) SA 113 (SCA)</w:t>
      </w:r>
      <w:r w:rsidRPr="007C356D">
        <w:rPr>
          <w:rFonts w:cs="Arial"/>
          <w:color w:val="000000" w:themeColor="text1"/>
          <w:sz w:val="22"/>
          <w:szCs w:val="22"/>
          <w:lang w:val="en-US"/>
        </w:rPr>
        <w:t>.</w:t>
      </w:r>
    </w:p>
    <w:p w14:paraId="3386EF82"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lang w:val="en-US"/>
        </w:rPr>
        <w:t>Port Elizabeth Municipality v Peoples Dialogue on Land and Shelter and Others</w:t>
      </w:r>
      <w:r w:rsidRPr="007C356D">
        <w:rPr>
          <w:rFonts w:cs="Arial"/>
          <w:color w:val="000000" w:themeColor="text1"/>
          <w:sz w:val="22"/>
          <w:szCs w:val="22"/>
          <w:lang w:val="en-US"/>
        </w:rPr>
        <w:t xml:space="preserve"> 2001 (4) SA 759 (E).</w:t>
      </w:r>
    </w:p>
    <w:p w14:paraId="42D76F58"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Mkontwana v Nelson Mandela Metro Muni; Bisset v Buffalo City Muni; TRAC v MEC, Local Govt &amp; Housing, Gauteng (KZN Law Soc &amp; Msunduzi Muni as Amici Curiae)</w:t>
      </w:r>
      <w:r w:rsidRPr="007C356D">
        <w:rPr>
          <w:rFonts w:cs="Arial"/>
          <w:sz w:val="22"/>
          <w:szCs w:val="22"/>
        </w:rPr>
        <w:t> 2005 (1) SA 530 (CC)</w:t>
      </w:r>
      <w:r w:rsidR="002A0B04" w:rsidRPr="007C356D">
        <w:rPr>
          <w:rFonts w:cs="Arial"/>
          <w:sz w:val="22"/>
          <w:szCs w:val="22"/>
        </w:rPr>
        <w:t>.</w:t>
      </w:r>
    </w:p>
    <w:p w14:paraId="7CF3DDD8" w14:textId="28CB717D"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President of the Republic of South Africa and Another v Modderklip Boerdery (Pty) Ltd (Agri SA and Others, Amici Curiae)</w:t>
      </w:r>
      <w:r w:rsidRPr="007C356D">
        <w:rPr>
          <w:rFonts w:cs="Arial"/>
          <w:sz w:val="22"/>
          <w:szCs w:val="22"/>
        </w:rPr>
        <w:t xml:space="preserve"> 2005 (5) SA 3 (CC).</w:t>
      </w:r>
    </w:p>
    <w:p w14:paraId="2C7878EE" w14:textId="1B2645EB"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National Council of Societies for the Prevention of Cruelty to Animals v Openshaw</w:t>
      </w:r>
      <w:r w:rsidRPr="007C356D">
        <w:rPr>
          <w:rFonts w:cs="Arial"/>
          <w:sz w:val="22"/>
          <w:szCs w:val="22"/>
        </w:rPr>
        <w:t> </w:t>
      </w:r>
      <w:r w:rsidRPr="007C356D">
        <w:rPr>
          <w:rFonts w:eastAsiaTheme="majorEastAsia" w:cs="Arial"/>
          <w:sz w:val="22"/>
          <w:szCs w:val="22"/>
        </w:rPr>
        <w:t>2008 (5) SA 339 (SCA)</w:t>
      </w:r>
      <w:r w:rsidRPr="007C356D">
        <w:rPr>
          <w:rFonts w:cs="Arial"/>
          <w:sz w:val="22"/>
          <w:szCs w:val="22"/>
        </w:rPr>
        <w:t>.</w:t>
      </w:r>
    </w:p>
    <w:p w14:paraId="0D9C2C56"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Singh v Commissioner for the South African Revenue Service</w:t>
      </w:r>
      <w:r w:rsidRPr="007C356D">
        <w:rPr>
          <w:rFonts w:cs="Arial"/>
          <w:sz w:val="22"/>
          <w:szCs w:val="22"/>
        </w:rPr>
        <w:t xml:space="preserve"> 2003 (4) SA 520 (SCA).</w:t>
      </w:r>
    </w:p>
    <w:p w14:paraId="36E7175A"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Director of Hospital Services v Mistry</w:t>
      </w:r>
      <w:r w:rsidRPr="007C356D">
        <w:rPr>
          <w:rFonts w:cs="Arial"/>
          <w:sz w:val="22"/>
          <w:szCs w:val="22"/>
        </w:rPr>
        <w:t xml:space="preserve"> 1979 (1) SA 626 (AD).</w:t>
      </w:r>
    </w:p>
    <w:p w14:paraId="6E9468E2"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lang w:val="en-US"/>
        </w:rPr>
        <w:t xml:space="preserve">City of Cape Town v Various Occupiers </w:t>
      </w:r>
      <w:r w:rsidRPr="007C356D">
        <w:rPr>
          <w:rFonts w:cs="Arial"/>
          <w:color w:val="000000" w:themeColor="text1"/>
          <w:sz w:val="22"/>
          <w:szCs w:val="22"/>
          <w:lang w:val="en-US"/>
        </w:rPr>
        <w:t>2024 (5) SA 407 (WCC).</w:t>
      </w:r>
    </w:p>
    <w:p w14:paraId="658FC73F"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Absa Bank Ltd v Hammerle Group</w:t>
      </w:r>
      <w:r w:rsidRPr="007C356D">
        <w:rPr>
          <w:rFonts w:cs="Arial"/>
          <w:sz w:val="22"/>
          <w:szCs w:val="22"/>
        </w:rPr>
        <w:t xml:space="preserve"> 2015 (5) SA 215 (SCA),  para 13.</w:t>
      </w:r>
    </w:p>
    <w:p w14:paraId="0A6884C2" w14:textId="1B89E9CE"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lang w:val="en-US"/>
        </w:rPr>
        <w:t xml:space="preserve">Chapelgate </w:t>
      </w:r>
      <w:r w:rsidR="005478B8" w:rsidRPr="007C356D">
        <w:rPr>
          <w:rFonts w:cs="Arial"/>
          <w:i/>
          <w:iCs/>
          <w:color w:val="000000" w:themeColor="text1"/>
          <w:sz w:val="22"/>
          <w:szCs w:val="22"/>
          <w:lang w:val="en-US"/>
        </w:rPr>
        <w:t>Properties</w:t>
      </w:r>
      <w:r w:rsidRPr="007C356D">
        <w:rPr>
          <w:rFonts w:cs="Arial"/>
          <w:i/>
          <w:iCs/>
          <w:color w:val="000000" w:themeColor="text1"/>
          <w:sz w:val="22"/>
          <w:szCs w:val="22"/>
          <w:lang w:val="en-US"/>
        </w:rPr>
        <w:t xml:space="preserve"> 1022 CC v Unlawful Occupiers of Erf 644 Kew and Another </w:t>
      </w:r>
      <w:r w:rsidRPr="007C356D">
        <w:rPr>
          <w:rFonts w:cs="Arial"/>
          <w:color w:val="000000" w:themeColor="text1"/>
          <w:sz w:val="22"/>
          <w:szCs w:val="22"/>
          <w:lang w:val="en-US"/>
        </w:rPr>
        <w:t>2017 (1) SA 403 (GJ).</w:t>
      </w:r>
    </w:p>
    <w:p w14:paraId="6331AEEC" w14:textId="77777777" w:rsidR="002A0B04"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sz w:val="22"/>
          <w:szCs w:val="22"/>
        </w:rPr>
        <w:t>Mostert v FirstRand Bank Ltd t/a RMB Private Bank</w:t>
      </w:r>
      <w:r w:rsidRPr="007C356D">
        <w:rPr>
          <w:rFonts w:cs="Arial"/>
          <w:sz w:val="22"/>
          <w:szCs w:val="22"/>
        </w:rPr>
        <w:t> </w:t>
      </w:r>
      <w:r w:rsidRPr="007C356D">
        <w:rPr>
          <w:rFonts w:eastAsiaTheme="majorEastAsia" w:cs="Arial"/>
          <w:sz w:val="22"/>
          <w:szCs w:val="22"/>
        </w:rPr>
        <w:t>2018 (4) SA 443 (SCA)</w:t>
      </w:r>
      <w:r w:rsidRPr="007C356D">
        <w:rPr>
          <w:rFonts w:cs="Arial"/>
          <w:sz w:val="22"/>
          <w:szCs w:val="22"/>
        </w:rPr>
        <w:t>.</w:t>
      </w:r>
    </w:p>
    <w:p w14:paraId="69E9A6E7" w14:textId="22412073" w:rsidR="00EC24F7" w:rsidRPr="007C356D" w:rsidRDefault="00EC24F7" w:rsidP="007C356D">
      <w:pPr>
        <w:pStyle w:val="FootnoteText"/>
        <w:numPr>
          <w:ilvl w:val="0"/>
          <w:numId w:val="8"/>
        </w:numPr>
        <w:spacing w:before="120" w:after="120" w:line="480" w:lineRule="auto"/>
        <w:ind w:left="567" w:hanging="567"/>
        <w:rPr>
          <w:rFonts w:cs="Arial"/>
          <w:sz w:val="22"/>
          <w:szCs w:val="22"/>
          <w:lang w:val="en-US"/>
        </w:rPr>
      </w:pPr>
      <w:r w:rsidRPr="007C356D">
        <w:rPr>
          <w:rFonts w:cs="Arial"/>
          <w:i/>
          <w:iCs/>
          <w:color w:val="000000" w:themeColor="text1"/>
          <w:sz w:val="22"/>
          <w:szCs w:val="22"/>
        </w:rPr>
        <w:t xml:space="preserve">Botha v Smuts and Others </w:t>
      </w:r>
      <w:r w:rsidRPr="007C356D">
        <w:rPr>
          <w:rFonts w:cs="Arial"/>
          <w:color w:val="000000" w:themeColor="text1"/>
          <w:sz w:val="22"/>
          <w:szCs w:val="22"/>
        </w:rPr>
        <w:t>2025 (1) SA 581 (CC)</w:t>
      </w:r>
      <w:r w:rsidRPr="007C356D">
        <w:rPr>
          <w:rFonts w:cs="Arial"/>
          <w:i/>
          <w:iCs/>
          <w:color w:val="000000" w:themeColor="text1"/>
          <w:sz w:val="22"/>
          <w:szCs w:val="22"/>
          <w:lang w:val="en-US"/>
        </w:rPr>
        <w:t>.</w:t>
      </w:r>
    </w:p>
    <w:p w14:paraId="37A471D7" w14:textId="77777777" w:rsidR="00560AA3" w:rsidRPr="00EC24F7" w:rsidRDefault="00560AA3" w:rsidP="00560AA3">
      <w:pPr>
        <w:spacing w:before="120" w:after="360" w:line="480" w:lineRule="auto"/>
        <w:rPr>
          <w:rFonts w:cs="Arial"/>
          <w:lang w:val="en-GB"/>
        </w:rPr>
      </w:pPr>
    </w:p>
    <w:sectPr w:rsidR="00560AA3" w:rsidRPr="00EC24F7" w:rsidSect="009B3D6E">
      <w:headerReference w:type="even" r:id="rId8"/>
      <w:headerReference w:type="default" r:id="rId9"/>
      <w:pgSz w:w="11906" w:h="16838"/>
      <w:pgMar w:top="1134" w:right="1418" w:bottom="1134" w:left="1418"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939A" w14:textId="77777777" w:rsidR="004725E5" w:rsidRDefault="004725E5" w:rsidP="000904DF">
      <w:r>
        <w:separator/>
      </w:r>
    </w:p>
  </w:endnote>
  <w:endnote w:type="continuationSeparator" w:id="0">
    <w:p w14:paraId="5F117CE9" w14:textId="77777777" w:rsidR="004725E5" w:rsidRDefault="004725E5" w:rsidP="0009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E945D" w14:textId="77777777" w:rsidR="004725E5" w:rsidRDefault="004725E5" w:rsidP="000904DF">
      <w:r>
        <w:separator/>
      </w:r>
    </w:p>
  </w:footnote>
  <w:footnote w:type="continuationSeparator" w:id="0">
    <w:p w14:paraId="113B71DE" w14:textId="77777777" w:rsidR="004725E5" w:rsidRDefault="004725E5" w:rsidP="000904DF">
      <w:r>
        <w:continuationSeparator/>
      </w:r>
    </w:p>
  </w:footnote>
  <w:footnote w:id="1">
    <w:p w14:paraId="7F9C3258" w14:textId="17F2A12B" w:rsidR="000904DF" w:rsidRPr="00887B17" w:rsidRDefault="000904DF"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FE6340" w:rsidRPr="00887B17">
        <w:rPr>
          <w:rFonts w:cs="Arial"/>
          <w:color w:val="000000" w:themeColor="text1"/>
        </w:rPr>
        <w:tab/>
      </w:r>
      <w:r w:rsidRPr="00887B17">
        <w:rPr>
          <w:rFonts w:cs="Arial"/>
          <w:color w:val="000000" w:themeColor="text1"/>
          <w:lang w:val="en-US"/>
        </w:rPr>
        <w:t>NoM, prayer 1</w:t>
      </w:r>
      <w:r w:rsidR="00752B28">
        <w:rPr>
          <w:rFonts w:cs="Arial"/>
          <w:color w:val="000000" w:themeColor="text1"/>
          <w:lang w:val="en-US"/>
        </w:rPr>
        <w:t xml:space="preserve">, </w:t>
      </w:r>
      <w:r w:rsidR="00752B28" w:rsidRPr="00887B17">
        <w:rPr>
          <w:rFonts w:cs="Arial"/>
          <w:color w:val="000000" w:themeColor="text1"/>
          <w:lang w:val="en-US"/>
        </w:rPr>
        <w:t>rec.7</w:t>
      </w:r>
      <w:r w:rsidR="00752B28">
        <w:rPr>
          <w:rFonts w:cs="Arial"/>
          <w:color w:val="000000" w:themeColor="text1"/>
          <w:lang w:val="en-US"/>
        </w:rPr>
        <w:t>.</w:t>
      </w:r>
    </w:p>
  </w:footnote>
  <w:footnote w:id="2">
    <w:p w14:paraId="72F9F94D" w14:textId="3D91C22C" w:rsidR="00572399" w:rsidRPr="00887B17" w:rsidRDefault="00572399"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t xml:space="preserve">City AA para </w:t>
      </w:r>
      <w:r w:rsidR="009567A7" w:rsidRPr="00887B17">
        <w:rPr>
          <w:rFonts w:cs="Arial"/>
          <w:color w:val="000000" w:themeColor="text1"/>
          <w:lang w:val="en-CA"/>
        </w:rPr>
        <w:t>49, rec. 289.</w:t>
      </w:r>
    </w:p>
  </w:footnote>
  <w:footnote w:id="3">
    <w:p w14:paraId="6520434C" w14:textId="67E4B174" w:rsidR="00650BCC" w:rsidRPr="00887B17" w:rsidRDefault="00650BCC"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t xml:space="preserve">These pockets are </w:t>
      </w:r>
      <w:r w:rsidR="00D7527E" w:rsidRPr="00887B17">
        <w:rPr>
          <w:rFonts w:cs="Arial"/>
          <w:color w:val="000000" w:themeColor="text1"/>
          <w:lang w:val="en-CA"/>
        </w:rPr>
        <w:t>identified</w:t>
      </w:r>
      <w:r w:rsidRPr="00887B17">
        <w:rPr>
          <w:rFonts w:cs="Arial"/>
          <w:color w:val="000000" w:themeColor="text1"/>
          <w:lang w:val="en-CA"/>
        </w:rPr>
        <w:t xml:space="preserve"> as Areas A to </w:t>
      </w:r>
      <w:r w:rsidR="0047408A" w:rsidRPr="00887B17">
        <w:rPr>
          <w:rFonts w:cs="Arial"/>
          <w:color w:val="000000" w:themeColor="text1"/>
          <w:lang w:val="en-CA"/>
        </w:rPr>
        <w:t xml:space="preserve">J by Transnet.  FA para </w:t>
      </w:r>
      <w:r w:rsidR="00F95288" w:rsidRPr="00887B17">
        <w:rPr>
          <w:rFonts w:cs="Arial"/>
          <w:color w:val="000000" w:themeColor="text1"/>
          <w:lang w:val="en-CA"/>
        </w:rPr>
        <w:t xml:space="preserve">31 </w:t>
      </w:r>
      <w:r w:rsidR="002B503F" w:rsidRPr="00887B17">
        <w:rPr>
          <w:rFonts w:cs="Arial"/>
          <w:color w:val="000000" w:themeColor="text1"/>
          <w:lang w:val="en-CA"/>
        </w:rPr>
        <w:t>–</w:t>
      </w:r>
      <w:r w:rsidR="00F95288" w:rsidRPr="00887B17">
        <w:rPr>
          <w:rFonts w:cs="Arial"/>
          <w:color w:val="000000" w:themeColor="text1"/>
          <w:lang w:val="en-CA"/>
        </w:rPr>
        <w:t xml:space="preserve"> 3</w:t>
      </w:r>
      <w:r w:rsidR="002B503F" w:rsidRPr="00887B17">
        <w:rPr>
          <w:rFonts w:cs="Arial"/>
          <w:color w:val="000000" w:themeColor="text1"/>
          <w:lang w:val="en-CA"/>
        </w:rPr>
        <w:t>3, rec. 26.</w:t>
      </w:r>
    </w:p>
  </w:footnote>
  <w:footnote w:id="4">
    <w:p w14:paraId="43F6237F" w14:textId="07FD9B04" w:rsidR="00076946" w:rsidRPr="00887B17" w:rsidRDefault="00076946"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t xml:space="preserve">FA para </w:t>
      </w:r>
      <w:r w:rsidR="00F834F0" w:rsidRPr="00887B17">
        <w:rPr>
          <w:rFonts w:cs="Arial"/>
          <w:color w:val="000000" w:themeColor="text1"/>
          <w:lang w:val="en-CA"/>
        </w:rPr>
        <w:t>114.4, rec. 40</w:t>
      </w:r>
    </w:p>
  </w:footnote>
  <w:footnote w:id="5">
    <w:p w14:paraId="6944085F" w14:textId="55C0F6C8" w:rsidR="00D7527E" w:rsidRPr="00887B17" w:rsidRDefault="00D7527E"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t>FA para 114.3, rec. 40.</w:t>
      </w:r>
    </w:p>
  </w:footnote>
  <w:footnote w:id="6">
    <w:p w14:paraId="64B4B1F5" w14:textId="1ACF110A" w:rsidR="00910567" w:rsidRPr="00887B17" w:rsidRDefault="00910567"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t>City AA para</w:t>
      </w:r>
      <w:r w:rsidR="00A51241" w:rsidRPr="00887B17">
        <w:rPr>
          <w:rFonts w:cs="Arial"/>
          <w:color w:val="000000" w:themeColor="text1"/>
          <w:lang w:val="en-CA"/>
        </w:rPr>
        <w:t xml:space="preserve"> 57 </w:t>
      </w:r>
      <w:r w:rsidR="00FE2820" w:rsidRPr="00887B17">
        <w:rPr>
          <w:rFonts w:cs="Arial"/>
          <w:color w:val="000000" w:themeColor="text1"/>
          <w:lang w:val="en-CA"/>
        </w:rPr>
        <w:t>–</w:t>
      </w:r>
      <w:r w:rsidR="00A51241" w:rsidRPr="00887B17">
        <w:rPr>
          <w:rFonts w:cs="Arial"/>
          <w:color w:val="000000" w:themeColor="text1"/>
          <w:lang w:val="en-CA"/>
        </w:rPr>
        <w:t xml:space="preserve"> </w:t>
      </w:r>
      <w:r w:rsidR="00FE2820" w:rsidRPr="00887B17">
        <w:rPr>
          <w:rFonts w:cs="Arial"/>
          <w:color w:val="000000" w:themeColor="text1"/>
          <w:lang w:val="en-CA"/>
        </w:rPr>
        <w:t xml:space="preserve">71, rec. </w:t>
      </w:r>
      <w:r w:rsidR="009F3857" w:rsidRPr="00887B17">
        <w:rPr>
          <w:rFonts w:cs="Arial"/>
          <w:color w:val="000000" w:themeColor="text1"/>
          <w:lang w:val="en-CA"/>
        </w:rPr>
        <w:t xml:space="preserve">492-501; City SAA para </w:t>
      </w:r>
      <w:r w:rsidR="004A5151" w:rsidRPr="00887B17">
        <w:rPr>
          <w:rFonts w:cs="Arial"/>
          <w:color w:val="000000" w:themeColor="text1"/>
          <w:lang w:val="en-CA"/>
        </w:rPr>
        <w:t xml:space="preserve">52 </w:t>
      </w:r>
      <w:r w:rsidR="00BE52D5" w:rsidRPr="00887B17">
        <w:rPr>
          <w:rFonts w:cs="Arial"/>
          <w:color w:val="000000" w:themeColor="text1"/>
          <w:lang w:val="en-CA"/>
        </w:rPr>
        <w:t>–</w:t>
      </w:r>
      <w:r w:rsidR="004A5151" w:rsidRPr="00887B17">
        <w:rPr>
          <w:rFonts w:cs="Arial"/>
          <w:color w:val="000000" w:themeColor="text1"/>
          <w:lang w:val="en-CA"/>
        </w:rPr>
        <w:t xml:space="preserve"> </w:t>
      </w:r>
      <w:r w:rsidR="00BE52D5" w:rsidRPr="00887B17">
        <w:rPr>
          <w:rFonts w:cs="Arial"/>
          <w:color w:val="000000" w:themeColor="text1"/>
          <w:lang w:val="en-CA"/>
        </w:rPr>
        <w:t>64, rec. 656 – 662.</w:t>
      </w:r>
      <w:r w:rsidRPr="00887B17">
        <w:rPr>
          <w:rFonts w:cs="Arial"/>
          <w:color w:val="000000" w:themeColor="text1"/>
          <w:lang w:val="en-CA"/>
        </w:rPr>
        <w:t xml:space="preserve"> </w:t>
      </w:r>
    </w:p>
  </w:footnote>
  <w:footnote w:id="7">
    <w:p w14:paraId="0307D6BB" w14:textId="25480B85" w:rsidR="004D5A1A" w:rsidRPr="00887B17" w:rsidRDefault="004D5A1A"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t xml:space="preserve">RA para </w:t>
      </w:r>
      <w:r w:rsidR="00A04270" w:rsidRPr="00887B17">
        <w:rPr>
          <w:rFonts w:cs="Arial"/>
          <w:color w:val="000000" w:themeColor="text1"/>
          <w:lang w:val="en-CA"/>
        </w:rPr>
        <w:t>79, rec. 715.</w:t>
      </w:r>
    </w:p>
  </w:footnote>
  <w:footnote w:id="8">
    <w:p w14:paraId="3F8463E4" w14:textId="76A9C7D6" w:rsidR="001704F0" w:rsidRPr="00887B17" w:rsidRDefault="001704F0"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t xml:space="preserve">City AA para </w:t>
      </w:r>
      <w:r w:rsidR="00305259" w:rsidRPr="00887B17">
        <w:rPr>
          <w:rFonts w:cs="Arial"/>
          <w:color w:val="000000" w:themeColor="text1"/>
          <w:lang w:val="en-CA"/>
        </w:rPr>
        <w:t xml:space="preserve">84 </w:t>
      </w:r>
      <w:r w:rsidR="00984F40" w:rsidRPr="00887B17">
        <w:rPr>
          <w:rFonts w:cs="Arial"/>
          <w:color w:val="000000" w:themeColor="text1"/>
          <w:lang w:val="en-CA"/>
        </w:rPr>
        <w:t>–</w:t>
      </w:r>
      <w:r w:rsidR="00305259" w:rsidRPr="00887B17">
        <w:rPr>
          <w:rFonts w:cs="Arial"/>
          <w:color w:val="000000" w:themeColor="text1"/>
          <w:lang w:val="en-CA"/>
        </w:rPr>
        <w:t xml:space="preserve"> </w:t>
      </w:r>
      <w:r w:rsidR="00984F40" w:rsidRPr="00887B17">
        <w:rPr>
          <w:rFonts w:cs="Arial"/>
          <w:color w:val="000000" w:themeColor="text1"/>
          <w:lang w:val="en-CA"/>
        </w:rPr>
        <w:t>87, rec. 506-508.</w:t>
      </w:r>
    </w:p>
  </w:footnote>
  <w:footnote w:id="9">
    <w:p w14:paraId="673902B8" w14:textId="2BE613E9" w:rsidR="00F43F1E" w:rsidRPr="00887B17" w:rsidRDefault="00F43F1E"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007B2667" w:rsidRPr="00887B17">
        <w:rPr>
          <w:rFonts w:cs="Arial"/>
          <w:color w:val="000000" w:themeColor="text1"/>
        </w:rPr>
        <w:t>Al-Habsy AA</w:t>
      </w:r>
      <w:r w:rsidRPr="00887B17">
        <w:rPr>
          <w:rFonts w:cs="Arial"/>
          <w:color w:val="000000" w:themeColor="text1"/>
          <w:lang w:val="en-US"/>
        </w:rPr>
        <w:t xml:space="preserve"> para 31, rec. 599.</w:t>
      </w:r>
      <w:r w:rsidR="00A84AC2" w:rsidRPr="00887B17">
        <w:rPr>
          <w:rFonts w:cs="Arial"/>
          <w:color w:val="000000" w:themeColor="text1"/>
          <w:lang w:val="en-US"/>
        </w:rPr>
        <w:t xml:space="preserve"> Transnet HoA para </w:t>
      </w:r>
      <w:r w:rsidR="00106CF8" w:rsidRPr="00887B17">
        <w:rPr>
          <w:rFonts w:cs="Arial"/>
          <w:color w:val="000000" w:themeColor="text1"/>
          <w:lang w:val="en-US"/>
        </w:rPr>
        <w:t>157.3.</w:t>
      </w:r>
    </w:p>
  </w:footnote>
  <w:footnote w:id="10">
    <w:p w14:paraId="103BD02C" w14:textId="7834DC79" w:rsidR="0020760C" w:rsidRPr="00887B17" w:rsidRDefault="0020760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F43F1E" w:rsidRPr="00887B17">
        <w:rPr>
          <w:rFonts w:cs="Arial"/>
          <w:color w:val="000000" w:themeColor="text1"/>
        </w:rPr>
        <w:tab/>
      </w:r>
      <w:r w:rsidR="00486738" w:rsidRPr="00887B17">
        <w:rPr>
          <w:rFonts w:cs="Arial"/>
          <w:color w:val="000000" w:themeColor="text1"/>
        </w:rPr>
        <w:t>Notice of Intention to Oppose dated 18 September 2025</w:t>
      </w:r>
      <w:r w:rsidR="00486738" w:rsidRPr="00887B17">
        <w:rPr>
          <w:rFonts w:cs="Arial"/>
          <w:color w:val="000000" w:themeColor="text1"/>
          <w:lang w:val="en-US"/>
        </w:rPr>
        <w:t>, Notices Bundle, p.38-40.</w:t>
      </w:r>
    </w:p>
  </w:footnote>
  <w:footnote w:id="11">
    <w:p w14:paraId="7DEFA879" w14:textId="46132B06" w:rsidR="003A6195" w:rsidRPr="00887B17" w:rsidRDefault="003A6195"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r>
      <w:r w:rsidR="00276D43" w:rsidRPr="00887B17">
        <w:rPr>
          <w:rFonts w:cs="Arial"/>
          <w:i/>
          <w:iCs/>
          <w:color w:val="000000" w:themeColor="text1"/>
        </w:rPr>
        <w:t xml:space="preserve">Occupiers of Erven 87 and 88 Berea v De Wet N.O and Another </w:t>
      </w:r>
      <w:r w:rsidR="00276D43" w:rsidRPr="00887B17">
        <w:rPr>
          <w:rFonts w:cs="Arial"/>
          <w:color w:val="000000" w:themeColor="text1"/>
        </w:rPr>
        <w:t>2017 (5) SA 346 (CC), para 47.</w:t>
      </w:r>
    </w:p>
  </w:footnote>
  <w:footnote w:id="12">
    <w:p w14:paraId="36004B4D" w14:textId="568F1251" w:rsidR="0001165E" w:rsidRPr="00887B17" w:rsidRDefault="0001165E"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r>
      <w:r w:rsidR="00405F00" w:rsidRPr="00887B17">
        <w:rPr>
          <w:rFonts w:cs="Arial"/>
          <w:i/>
          <w:iCs/>
          <w:color w:val="000000" w:themeColor="text1"/>
          <w:lang w:val="en-US"/>
        </w:rPr>
        <w:t xml:space="preserve">Gerhardt v State President </w:t>
      </w:r>
      <w:r w:rsidR="00405F00" w:rsidRPr="00887B17">
        <w:rPr>
          <w:rFonts w:cs="Arial"/>
          <w:color w:val="000000" w:themeColor="text1"/>
          <w:lang w:val="en-US"/>
        </w:rPr>
        <w:t>1989 (2) SA 499 (T) at 504G</w:t>
      </w:r>
      <w:r w:rsidR="00405F00" w:rsidRPr="00887B17">
        <w:rPr>
          <w:rFonts w:cs="Arial"/>
          <w:color w:val="000000" w:themeColor="text1"/>
        </w:rPr>
        <w:t>.</w:t>
      </w:r>
    </w:p>
  </w:footnote>
  <w:footnote w:id="13">
    <w:p w14:paraId="6E34DDB4" w14:textId="53F4315F" w:rsidR="002D071C" w:rsidRPr="00887B17" w:rsidRDefault="002D071C"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r>
      <w:r w:rsidRPr="00887B17">
        <w:rPr>
          <w:rFonts w:cs="Arial"/>
          <w:i/>
          <w:iCs/>
          <w:color w:val="000000" w:themeColor="text1"/>
          <w:lang w:val="en-CA"/>
        </w:rPr>
        <w:t>President of the Republic of South Africa and Others v South African Rugby Football Union and Others</w:t>
      </w:r>
      <w:r w:rsidRPr="00887B17">
        <w:rPr>
          <w:rFonts w:cs="Arial"/>
          <w:color w:val="000000" w:themeColor="text1"/>
          <w:lang w:val="en-CA"/>
        </w:rPr>
        <w:t xml:space="preserve"> 2000 (1) SA 1 (CC), para 105. See also </w:t>
      </w:r>
      <w:r w:rsidRPr="00887B17">
        <w:rPr>
          <w:rFonts w:cs="Arial"/>
          <w:i/>
          <w:iCs/>
          <w:color w:val="000000" w:themeColor="text1"/>
        </w:rPr>
        <w:t>Competition Commission v Wilmar Continental Edible Oils &amp; Fats (Pty) Ltd and Others</w:t>
      </w:r>
      <w:r w:rsidRPr="00887B17">
        <w:rPr>
          <w:rFonts w:cs="Arial"/>
          <w:color w:val="000000" w:themeColor="text1"/>
        </w:rPr>
        <w:t xml:space="preserve"> 2020 (4) SA 527 (KZP), para 40, quoting with approval </w:t>
      </w:r>
      <w:r w:rsidRPr="00887B17">
        <w:rPr>
          <w:rFonts w:cs="Arial"/>
          <w:i/>
          <w:iCs/>
          <w:color w:val="000000" w:themeColor="text1"/>
        </w:rPr>
        <w:t>Von Abo v Government of the Republic of South Africa and Others</w:t>
      </w:r>
      <w:r w:rsidRPr="00887B17">
        <w:rPr>
          <w:rFonts w:cs="Arial"/>
          <w:color w:val="000000" w:themeColor="text1"/>
        </w:rPr>
        <w:t xml:space="preserve"> 2009 (2) SA 526 (T), para 46, </w:t>
      </w:r>
      <w:r w:rsidRPr="00887B17">
        <w:rPr>
          <w:rFonts w:cs="Arial"/>
          <w:i/>
          <w:iCs/>
          <w:color w:val="000000" w:themeColor="text1"/>
        </w:rPr>
        <w:t>Tantoush v Refugee Appeal Board and Others</w:t>
      </w:r>
      <w:r w:rsidRPr="00887B17">
        <w:rPr>
          <w:rFonts w:cs="Arial"/>
          <w:color w:val="000000" w:themeColor="text1"/>
        </w:rPr>
        <w:t xml:space="preserve"> 2008 (1) SA 232 (T) para 70, </w:t>
      </w:r>
      <w:r w:rsidRPr="00887B17">
        <w:rPr>
          <w:rFonts w:cs="Arial"/>
          <w:i/>
          <w:iCs/>
          <w:color w:val="000000" w:themeColor="text1"/>
          <w:lang w:val="en-US"/>
        </w:rPr>
        <w:t xml:space="preserve">Gerhardt </w:t>
      </w:r>
      <w:r w:rsidR="00116D28">
        <w:rPr>
          <w:rFonts w:cs="Arial"/>
          <w:i/>
          <w:iCs/>
          <w:color w:val="000000" w:themeColor="text1"/>
          <w:lang w:val="en-US"/>
        </w:rPr>
        <w:t>(supra)</w:t>
      </w:r>
      <w:r w:rsidRPr="00887B17">
        <w:rPr>
          <w:rFonts w:cs="Arial"/>
          <w:color w:val="000000" w:themeColor="text1"/>
          <w:lang w:val="en-US"/>
        </w:rPr>
        <w:t xml:space="preserve"> at 504G</w:t>
      </w:r>
      <w:r w:rsidRPr="00887B17">
        <w:rPr>
          <w:rFonts w:cs="Arial"/>
          <w:color w:val="000000" w:themeColor="text1"/>
        </w:rPr>
        <w:t>.</w:t>
      </w:r>
    </w:p>
  </w:footnote>
  <w:footnote w:id="14">
    <w:p w14:paraId="6EBA5D02" w14:textId="31296DEE" w:rsidR="00C12372" w:rsidRPr="00887B17" w:rsidRDefault="00C12372"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t>Al-Habsy AA para 2, rec. 591.</w:t>
      </w:r>
    </w:p>
  </w:footnote>
  <w:footnote w:id="15">
    <w:p w14:paraId="144F85EB" w14:textId="77777777" w:rsidR="003906DA" w:rsidRPr="00887B17" w:rsidRDefault="003906DA"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color w:val="000000" w:themeColor="text1"/>
          <w:lang w:val="en-CA"/>
        </w:rPr>
        <w:t>Al-Habsy AA para 31, rec. 599 and Annexure ‘</w:t>
      </w:r>
      <w:r w:rsidRPr="00887B17">
        <w:rPr>
          <w:rFonts w:cs="Arial"/>
          <w:color w:val="000000" w:themeColor="text1"/>
          <w:lang w:val="en-US"/>
        </w:rPr>
        <w:t>AL2’, rec. 614 – 619.</w:t>
      </w:r>
    </w:p>
  </w:footnote>
  <w:footnote w:id="16">
    <w:p w14:paraId="7B87A04C" w14:textId="77777777" w:rsidR="003906DA" w:rsidRPr="00887B17" w:rsidRDefault="003906DA"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t>Adams confirmatory affidavit, rec. 620 – 627; Olifant confirmatory affidavit, rec.628 – 633.</w:t>
      </w:r>
    </w:p>
  </w:footnote>
  <w:footnote w:id="17">
    <w:p w14:paraId="045E2797" w14:textId="77777777" w:rsidR="00940B42" w:rsidRPr="00887B17" w:rsidRDefault="00940B42"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t>Adams confirmatory affidavit, rec. 620 – 627; Olifant confirmatory affidavit, rec.628 – 633.</w:t>
      </w:r>
    </w:p>
  </w:footnote>
  <w:footnote w:id="18">
    <w:p w14:paraId="7B90E6FD" w14:textId="5B6C4E73" w:rsidR="00FE41CF" w:rsidRPr="00887B17" w:rsidRDefault="00FE41CF"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r>
      <w:r w:rsidR="005B6B49" w:rsidRPr="00887B17">
        <w:rPr>
          <w:rFonts w:cs="Arial"/>
          <w:i/>
          <w:color w:val="000000" w:themeColor="text1"/>
          <w:lang w:val="en-CA"/>
        </w:rPr>
        <w:t>SARFU (</w:t>
      </w:r>
      <w:r w:rsidR="0015610A" w:rsidRPr="00887B17">
        <w:rPr>
          <w:rFonts w:cs="Arial"/>
          <w:i/>
          <w:color w:val="000000" w:themeColor="text1"/>
          <w:lang w:val="en-CA"/>
        </w:rPr>
        <w:t>supra</w:t>
      </w:r>
      <w:r w:rsidR="005B6B49" w:rsidRPr="00887B17">
        <w:rPr>
          <w:rFonts w:cs="Arial"/>
          <w:i/>
          <w:color w:val="000000" w:themeColor="text1"/>
          <w:lang w:val="en-CA"/>
        </w:rPr>
        <w:t>)</w:t>
      </w:r>
      <w:r w:rsidR="005B6B49" w:rsidRPr="00887B17">
        <w:rPr>
          <w:rFonts w:cs="Arial"/>
          <w:color w:val="000000" w:themeColor="text1"/>
          <w:lang w:val="en-CA"/>
        </w:rPr>
        <w:t xml:space="preserve"> para 105</w:t>
      </w:r>
      <w:r w:rsidR="0015610A" w:rsidRPr="00887B17">
        <w:rPr>
          <w:rFonts w:cs="Arial"/>
          <w:color w:val="000000" w:themeColor="text1"/>
          <w:lang w:val="en-CA"/>
        </w:rPr>
        <w:t xml:space="preserve">, quoting with approval </w:t>
      </w:r>
      <w:r w:rsidR="0015610A" w:rsidRPr="00887B17">
        <w:rPr>
          <w:rFonts w:cs="Arial"/>
          <w:i/>
          <w:color w:val="000000" w:themeColor="text1"/>
        </w:rPr>
        <w:t>Langham and Another NNO v Milne NO and Others</w:t>
      </w:r>
      <w:r w:rsidR="0015610A" w:rsidRPr="00887B17">
        <w:rPr>
          <w:rFonts w:cs="Arial"/>
          <w:color w:val="000000" w:themeColor="text1"/>
        </w:rPr>
        <w:t> 1961 (1) SA 811 (N) at 817A - F, and the cases cited there.</w:t>
      </w:r>
    </w:p>
  </w:footnote>
  <w:footnote w:id="19">
    <w:p w14:paraId="7AFAE7BE" w14:textId="17B532EE" w:rsidR="006705B9" w:rsidRPr="00887B17" w:rsidRDefault="006705B9"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00C6132F" w:rsidRPr="00887B17">
        <w:rPr>
          <w:rFonts w:cs="Arial"/>
          <w:color w:val="000000" w:themeColor="text1"/>
          <w:lang w:val="en-CA"/>
        </w:rPr>
        <w:tab/>
        <w:t>Al-Habsy, para 4, rec. 591.</w:t>
      </w:r>
    </w:p>
  </w:footnote>
  <w:footnote w:id="20">
    <w:p w14:paraId="565AFC5D" w14:textId="7C498B22" w:rsidR="00EA79AD" w:rsidRPr="00887B17" w:rsidRDefault="00EA79AD"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00743148" w:rsidRPr="00887B17">
        <w:rPr>
          <w:rFonts w:cs="Arial"/>
          <w:color w:val="000000" w:themeColor="text1"/>
          <w:lang w:val="en-CA"/>
        </w:rPr>
        <w:tab/>
      </w:r>
      <w:r w:rsidR="00743148" w:rsidRPr="00887B17">
        <w:rPr>
          <w:rFonts w:cs="Arial"/>
          <w:i/>
          <w:color w:val="000000" w:themeColor="text1"/>
          <w:lang w:val="en-GB"/>
        </w:rPr>
        <w:t>Transnet Ltd v Rubenstein</w:t>
      </w:r>
      <w:r w:rsidR="00743148" w:rsidRPr="00887B17">
        <w:rPr>
          <w:rFonts w:cs="Arial"/>
          <w:color w:val="000000" w:themeColor="text1"/>
          <w:lang w:val="en-GB"/>
        </w:rPr>
        <w:t xml:space="preserve"> 2006 (1) SA 591 (SCA), para 28.</w:t>
      </w:r>
    </w:p>
  </w:footnote>
  <w:footnote w:id="21">
    <w:p w14:paraId="6F659997" w14:textId="25CA4C2E" w:rsidR="005D56FD" w:rsidRPr="00887B17" w:rsidRDefault="005D56FD"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r>
      <w:r w:rsidR="00441C6A" w:rsidRPr="00887B17">
        <w:rPr>
          <w:rFonts w:cs="Arial"/>
          <w:i/>
          <w:iCs/>
          <w:color w:val="000000" w:themeColor="text1"/>
        </w:rPr>
        <w:t>Occupiers of Erven 87 and 88 Berea (supra),</w:t>
      </w:r>
      <w:r w:rsidR="00441C6A" w:rsidRPr="00887B17">
        <w:rPr>
          <w:rFonts w:cs="Arial"/>
          <w:color w:val="000000" w:themeColor="text1"/>
        </w:rPr>
        <w:t xml:space="preserve"> </w:t>
      </w:r>
      <w:r w:rsidR="00933A0F" w:rsidRPr="00887B17">
        <w:rPr>
          <w:rFonts w:cs="Arial"/>
          <w:color w:val="000000" w:themeColor="text1"/>
        </w:rPr>
        <w:t>para 56.</w:t>
      </w:r>
    </w:p>
  </w:footnote>
  <w:footnote w:id="22">
    <w:p w14:paraId="35A5826E" w14:textId="314E4656" w:rsidR="009E751A" w:rsidRPr="00887B17" w:rsidRDefault="009E751A"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00A56676" w:rsidRPr="00887B17">
        <w:rPr>
          <w:rFonts w:cs="Arial"/>
          <w:i/>
          <w:iCs/>
          <w:color w:val="000000" w:themeColor="text1"/>
        </w:rPr>
        <w:t>Id</w:t>
      </w:r>
      <w:r w:rsidRPr="00887B17">
        <w:rPr>
          <w:rFonts w:cs="Arial"/>
          <w:color w:val="000000" w:themeColor="text1"/>
          <w:lang w:val="en-US"/>
        </w:rPr>
        <w:t>.</w:t>
      </w:r>
    </w:p>
  </w:footnote>
  <w:footnote w:id="23">
    <w:p w14:paraId="710232AF" w14:textId="1CC48C3D" w:rsidR="00D6405B" w:rsidRPr="00887B17" w:rsidRDefault="00D6405B"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color w:val="000000" w:themeColor="text1"/>
          <w:lang w:val="en-CA"/>
        </w:rPr>
        <w:t>Al-Habsy AA</w:t>
      </w:r>
      <w:r w:rsidRPr="00887B17">
        <w:rPr>
          <w:rFonts w:cs="Arial"/>
          <w:color w:val="000000" w:themeColor="text1"/>
          <w:lang w:val="en-US"/>
        </w:rPr>
        <w:t xml:space="preserve">, para </w:t>
      </w:r>
      <w:r w:rsidR="005C5131" w:rsidRPr="00887B17">
        <w:rPr>
          <w:rFonts w:cs="Arial"/>
          <w:color w:val="000000" w:themeColor="text1"/>
          <w:lang w:val="en-US"/>
        </w:rPr>
        <w:t xml:space="preserve">31 - </w:t>
      </w:r>
      <w:r w:rsidRPr="00887B17">
        <w:rPr>
          <w:rFonts w:cs="Arial"/>
          <w:color w:val="000000" w:themeColor="text1"/>
          <w:lang w:val="en-US"/>
        </w:rPr>
        <w:t xml:space="preserve">32, rec. 599. </w:t>
      </w:r>
    </w:p>
  </w:footnote>
  <w:footnote w:id="24">
    <w:p w14:paraId="2EDC808F" w14:textId="3741169F" w:rsidR="000F0F70" w:rsidRPr="00887B17" w:rsidRDefault="000F0F70"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r>
      <w:r w:rsidRPr="00887B17">
        <w:rPr>
          <w:rFonts w:cs="Arial"/>
          <w:i/>
          <w:color w:val="000000" w:themeColor="text1"/>
        </w:rPr>
        <w:t>Luanga v Perth Park Properties Ltd</w:t>
      </w:r>
      <w:r w:rsidRPr="00887B17">
        <w:rPr>
          <w:rFonts w:cs="Arial"/>
          <w:color w:val="000000" w:themeColor="text1"/>
        </w:rPr>
        <w:t xml:space="preserve"> 2019 (3) SA 214 (WCC), para 47. </w:t>
      </w:r>
    </w:p>
  </w:footnote>
  <w:footnote w:id="25">
    <w:p w14:paraId="535DEBD8" w14:textId="77777777" w:rsidR="00165B14" w:rsidRPr="00887B17" w:rsidRDefault="00165B14"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r>
      <w:r w:rsidRPr="00887B17">
        <w:rPr>
          <w:rFonts w:cs="Arial"/>
          <w:i/>
          <w:iCs/>
          <w:color w:val="000000" w:themeColor="text1"/>
        </w:rPr>
        <w:t>Occupiers of Erven 87 and 88 Berea (supra),</w:t>
      </w:r>
      <w:r w:rsidRPr="00887B17">
        <w:rPr>
          <w:rFonts w:cs="Arial"/>
          <w:color w:val="000000" w:themeColor="text1"/>
        </w:rPr>
        <w:t xml:space="preserve"> para 47.</w:t>
      </w:r>
    </w:p>
  </w:footnote>
  <w:footnote w:id="26">
    <w:p w14:paraId="30A0180E" w14:textId="11EFBF7F" w:rsidR="000F0F70" w:rsidRPr="00887B17" w:rsidRDefault="000F0F70"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r>
      <w:r w:rsidRPr="00887B17">
        <w:rPr>
          <w:rFonts w:cs="Arial"/>
          <w:i/>
          <w:color w:val="000000" w:themeColor="text1"/>
        </w:rPr>
        <w:t>Luanga v Perth Park Properties Ltd</w:t>
      </w:r>
      <w:r w:rsidRPr="00887B17">
        <w:rPr>
          <w:rFonts w:cs="Arial"/>
          <w:color w:val="000000" w:themeColor="text1"/>
        </w:rPr>
        <w:t xml:space="preserve"> </w:t>
      </w:r>
      <w:r w:rsidRPr="00887B17">
        <w:rPr>
          <w:rFonts w:cs="Arial"/>
          <w:i/>
          <w:color w:val="000000" w:themeColor="text1"/>
        </w:rPr>
        <w:t>(supra)</w:t>
      </w:r>
      <w:r w:rsidRPr="00887B17">
        <w:rPr>
          <w:rFonts w:cs="Arial"/>
          <w:color w:val="000000" w:themeColor="text1"/>
        </w:rPr>
        <w:t>, para 48.</w:t>
      </w:r>
    </w:p>
  </w:footnote>
  <w:footnote w:id="27">
    <w:p w14:paraId="385D1837" w14:textId="1DDF12B5" w:rsidR="005E3772" w:rsidRPr="00887B17" w:rsidRDefault="005E3772"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650518" w:rsidRPr="00887B17">
        <w:rPr>
          <w:rFonts w:cs="Arial"/>
          <w:color w:val="000000" w:themeColor="text1"/>
        </w:rPr>
        <w:tab/>
      </w:r>
      <w:r w:rsidRPr="00887B17">
        <w:rPr>
          <w:rFonts w:cs="Arial"/>
          <w:i/>
          <w:iCs/>
          <w:color w:val="000000" w:themeColor="text1"/>
          <w:lang w:val="en-US"/>
        </w:rPr>
        <w:t xml:space="preserve">Rowland and Others v Logos Carriers CC </w:t>
      </w:r>
      <w:r w:rsidRPr="00887B17">
        <w:rPr>
          <w:rFonts w:cs="Arial"/>
          <w:color w:val="000000" w:themeColor="text1"/>
          <w:lang w:val="en-US"/>
        </w:rPr>
        <w:t>276/2024 [2026] ZASCA 36 (24 March 2026)</w:t>
      </w:r>
      <w:r w:rsidR="00650518" w:rsidRPr="00887B17">
        <w:rPr>
          <w:rFonts w:cs="Arial"/>
          <w:color w:val="000000" w:themeColor="text1"/>
          <w:lang w:val="en-US"/>
        </w:rPr>
        <w:t xml:space="preserve">, para </w:t>
      </w:r>
      <w:r w:rsidRPr="00887B17">
        <w:rPr>
          <w:rFonts w:cs="Arial"/>
          <w:color w:val="000000" w:themeColor="text1"/>
          <w:lang w:val="en-US"/>
        </w:rPr>
        <w:t>32</w:t>
      </w:r>
      <w:r w:rsidR="00650518" w:rsidRPr="00887B17">
        <w:rPr>
          <w:rFonts w:cs="Arial"/>
          <w:color w:val="000000" w:themeColor="text1"/>
          <w:lang w:val="en-US"/>
        </w:rPr>
        <w:t>.</w:t>
      </w:r>
    </w:p>
  </w:footnote>
  <w:footnote w:id="28">
    <w:p w14:paraId="77AD95D8" w14:textId="4FA5A30A" w:rsidR="005E3772" w:rsidRPr="00887B17" w:rsidRDefault="005E3772"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9704FF" w:rsidRPr="00887B17">
        <w:rPr>
          <w:rFonts w:cs="Arial"/>
          <w:color w:val="000000" w:themeColor="text1"/>
        </w:rPr>
        <w:tab/>
      </w:r>
      <w:r w:rsidRPr="00887B17">
        <w:rPr>
          <w:rFonts w:cs="Arial"/>
          <w:i/>
          <w:iCs/>
          <w:color w:val="000000" w:themeColor="text1"/>
          <w:lang w:val="en-US"/>
        </w:rPr>
        <w:t>Luanga v Perthpark</w:t>
      </w:r>
      <w:r w:rsidR="00585952" w:rsidRPr="00585952">
        <w:rPr>
          <w:rFonts w:cs="Arial"/>
          <w:i/>
          <w:color w:val="000000" w:themeColor="text1"/>
        </w:rPr>
        <w:t xml:space="preserve"> </w:t>
      </w:r>
      <w:r w:rsidR="00585952" w:rsidRPr="00887B17">
        <w:rPr>
          <w:rFonts w:cs="Arial"/>
          <w:i/>
          <w:color w:val="000000" w:themeColor="text1"/>
        </w:rPr>
        <w:t>Properties Ltd</w:t>
      </w:r>
      <w:r w:rsidR="009704FF" w:rsidRPr="00887B17">
        <w:rPr>
          <w:rFonts w:cs="Arial"/>
          <w:i/>
          <w:iCs/>
          <w:color w:val="000000" w:themeColor="text1"/>
          <w:lang w:val="en-US"/>
        </w:rPr>
        <w:t xml:space="preserve"> (supra)</w:t>
      </w:r>
      <w:r w:rsidRPr="00887B17">
        <w:rPr>
          <w:rFonts w:cs="Arial"/>
          <w:color w:val="000000" w:themeColor="text1"/>
          <w:lang w:val="en-US"/>
        </w:rPr>
        <w:t xml:space="preserve"> </w:t>
      </w:r>
      <w:r w:rsidR="009704FF" w:rsidRPr="00887B17">
        <w:rPr>
          <w:rFonts w:cs="Arial"/>
          <w:color w:val="000000" w:themeColor="text1"/>
          <w:lang w:val="en-US"/>
        </w:rPr>
        <w:t>para</w:t>
      </w:r>
      <w:r w:rsidRPr="00887B17">
        <w:rPr>
          <w:rFonts w:cs="Arial"/>
          <w:color w:val="000000" w:themeColor="text1"/>
          <w:lang w:val="en-US"/>
        </w:rPr>
        <w:t xml:space="preserve"> 48.</w:t>
      </w:r>
    </w:p>
  </w:footnote>
  <w:footnote w:id="29">
    <w:p w14:paraId="669294CB" w14:textId="276B278C" w:rsidR="005C21F3" w:rsidRPr="00887B17" w:rsidRDefault="005C21F3"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CA"/>
        </w:rPr>
        <w:tab/>
      </w:r>
      <w:r w:rsidRPr="00AA2402">
        <w:rPr>
          <w:rFonts w:cs="Arial"/>
          <w:color w:val="000000" w:themeColor="text1"/>
          <w:lang w:val="en-CA"/>
        </w:rPr>
        <w:t xml:space="preserve">City notice to strike out, </w:t>
      </w:r>
      <w:r w:rsidR="00AA2402">
        <w:rPr>
          <w:rFonts w:cs="Arial"/>
          <w:color w:val="000000" w:themeColor="text1"/>
          <w:lang w:val="en-CA"/>
        </w:rPr>
        <w:t xml:space="preserve">City </w:t>
      </w:r>
      <w:r w:rsidRPr="00AA2402">
        <w:rPr>
          <w:rFonts w:cs="Arial"/>
          <w:color w:val="000000" w:themeColor="text1"/>
          <w:lang w:val="en-CA"/>
        </w:rPr>
        <w:t xml:space="preserve">Notices bundle </w:t>
      </w:r>
      <w:r w:rsidR="00AA2402">
        <w:rPr>
          <w:rFonts w:cs="Arial"/>
          <w:color w:val="000000" w:themeColor="text1"/>
          <w:lang w:val="en-CA"/>
        </w:rPr>
        <w:t>rec.</w:t>
      </w:r>
      <w:r w:rsidR="00A35BEC">
        <w:rPr>
          <w:rFonts w:cs="Arial"/>
          <w:color w:val="000000" w:themeColor="text1"/>
          <w:lang w:val="en-CA"/>
        </w:rPr>
        <w:t>2-6.</w:t>
      </w:r>
    </w:p>
  </w:footnote>
  <w:footnote w:id="30">
    <w:p w14:paraId="589A3DCF" w14:textId="1DC2EA88" w:rsidR="009B5226" w:rsidRPr="00887B17" w:rsidRDefault="009B5226"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2A2D57" w:rsidRPr="00887B17">
        <w:rPr>
          <w:rFonts w:cs="Arial"/>
          <w:color w:val="000000" w:themeColor="text1"/>
          <w:lang w:val="en-US"/>
        </w:rPr>
        <w:tab/>
      </w:r>
      <w:r w:rsidRPr="00887B17">
        <w:rPr>
          <w:rFonts w:cs="Arial"/>
          <w:color w:val="000000" w:themeColor="text1"/>
          <w:lang w:val="en-US"/>
        </w:rPr>
        <w:t>FA par</w:t>
      </w:r>
      <w:r w:rsidR="000A59F3" w:rsidRPr="00887B17">
        <w:rPr>
          <w:rFonts w:cs="Arial"/>
          <w:color w:val="000000" w:themeColor="text1"/>
          <w:lang w:val="en-US"/>
        </w:rPr>
        <w:t>a</w:t>
      </w:r>
      <w:r w:rsidRPr="00887B17">
        <w:rPr>
          <w:rFonts w:cs="Arial"/>
          <w:color w:val="000000" w:themeColor="text1"/>
          <w:lang w:val="en-US"/>
        </w:rPr>
        <w:t xml:space="preserve"> 3, rec. 15 – 16</w:t>
      </w:r>
      <w:r w:rsidR="000A59F3" w:rsidRPr="00887B17">
        <w:rPr>
          <w:rFonts w:cs="Arial"/>
          <w:color w:val="000000" w:themeColor="text1"/>
          <w:lang w:val="en-US"/>
        </w:rPr>
        <w:t xml:space="preserve">; </w:t>
      </w:r>
      <w:r w:rsidR="002727D6" w:rsidRPr="00887B17">
        <w:rPr>
          <w:rFonts w:cs="Arial"/>
          <w:color w:val="000000" w:themeColor="text1"/>
          <w:lang w:val="en-US"/>
        </w:rPr>
        <w:t xml:space="preserve">FA </w:t>
      </w:r>
      <w:r w:rsidR="000A59F3" w:rsidRPr="00887B17">
        <w:rPr>
          <w:rFonts w:cs="Arial"/>
          <w:color w:val="000000" w:themeColor="text1"/>
          <w:lang w:val="en-US"/>
        </w:rPr>
        <w:t>para 20, rec. 21</w:t>
      </w:r>
      <w:r w:rsidR="002A2D57" w:rsidRPr="00887B17">
        <w:rPr>
          <w:rFonts w:cs="Arial"/>
          <w:color w:val="000000" w:themeColor="text1"/>
          <w:lang w:val="en-US"/>
        </w:rPr>
        <w:t>.</w:t>
      </w:r>
      <w:r w:rsidR="002009CE" w:rsidRPr="00887B17">
        <w:rPr>
          <w:rFonts w:cs="Arial"/>
          <w:color w:val="000000" w:themeColor="text1"/>
          <w:lang w:val="en-US"/>
        </w:rPr>
        <w:t xml:space="preserve">  These averments are not responded to in the provisional answering affidavit </w:t>
      </w:r>
      <w:r w:rsidR="007C0D69" w:rsidRPr="00887B17">
        <w:rPr>
          <w:rFonts w:cs="Arial"/>
          <w:color w:val="000000" w:themeColor="text1"/>
          <w:lang w:val="en-US"/>
        </w:rPr>
        <w:t>of Ms Dyanti or in Mr Al-Habsy’s affidavit.</w:t>
      </w:r>
    </w:p>
  </w:footnote>
  <w:footnote w:id="31">
    <w:p w14:paraId="07D14213" w14:textId="44715C09" w:rsidR="004C039E" w:rsidRPr="00887B17" w:rsidRDefault="004C039E"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2A2D57" w:rsidRPr="00887B17">
        <w:rPr>
          <w:rFonts w:cs="Arial"/>
          <w:color w:val="000000" w:themeColor="text1"/>
        </w:rPr>
        <w:tab/>
      </w:r>
      <w:r w:rsidRPr="00887B17">
        <w:rPr>
          <w:rFonts w:cs="Arial"/>
          <w:color w:val="000000" w:themeColor="text1"/>
          <w:lang w:val="en-US"/>
        </w:rPr>
        <w:t xml:space="preserve">FA para 199 </w:t>
      </w:r>
      <w:r w:rsidR="006419FE" w:rsidRPr="00887B17">
        <w:rPr>
          <w:rFonts w:cs="Arial"/>
          <w:color w:val="000000" w:themeColor="text1"/>
          <w:lang w:val="en-US"/>
        </w:rPr>
        <w:t>-</w:t>
      </w:r>
      <w:r w:rsidRPr="00887B17">
        <w:rPr>
          <w:rFonts w:cs="Arial"/>
          <w:color w:val="000000" w:themeColor="text1"/>
          <w:lang w:val="en-US"/>
        </w:rPr>
        <w:t xml:space="preserve"> </w:t>
      </w:r>
      <w:r w:rsidR="008E67F4" w:rsidRPr="00887B17">
        <w:rPr>
          <w:rFonts w:cs="Arial"/>
          <w:color w:val="000000" w:themeColor="text1"/>
          <w:lang w:val="en-US"/>
        </w:rPr>
        <w:t>235, rec. 70 – 80.</w:t>
      </w:r>
      <w:r w:rsidR="00A37BDF" w:rsidRPr="00887B17">
        <w:rPr>
          <w:rFonts w:cs="Arial"/>
          <w:color w:val="000000" w:themeColor="text1"/>
          <w:lang w:val="en-US"/>
        </w:rPr>
        <w:t xml:space="preserve">  These averments are not responded to in the provisional answering affidavit of Ms Dyanti or in Mr Al-Habsy’s affidavit.</w:t>
      </w:r>
    </w:p>
  </w:footnote>
  <w:footnote w:id="32">
    <w:p w14:paraId="68F106D9" w14:textId="36465A92" w:rsidR="0019220A" w:rsidRPr="00887B17" w:rsidRDefault="0019220A" w:rsidP="00887B17">
      <w:pPr>
        <w:pStyle w:val="FootnoteText"/>
        <w:rPr>
          <w:rFonts w:cs="Arial"/>
          <w:color w:val="000000" w:themeColor="text1"/>
          <w:lang w:val="en-CA"/>
        </w:rPr>
      </w:pPr>
      <w:r w:rsidRPr="00887B17">
        <w:rPr>
          <w:rStyle w:val="FootnoteReference"/>
          <w:rFonts w:cs="Arial"/>
          <w:color w:val="000000" w:themeColor="text1"/>
        </w:rPr>
        <w:footnoteRef/>
      </w:r>
      <w:r w:rsidRPr="00887B17">
        <w:rPr>
          <w:rFonts w:cs="Arial"/>
          <w:color w:val="000000" w:themeColor="text1"/>
        </w:rPr>
        <w:t xml:space="preserve"> </w:t>
      </w:r>
      <w:r w:rsidR="00D97AE7" w:rsidRPr="00887B17">
        <w:rPr>
          <w:rFonts w:cs="Arial"/>
          <w:color w:val="000000" w:themeColor="text1"/>
          <w:lang w:val="en-CA"/>
        </w:rPr>
        <w:tab/>
      </w:r>
      <w:r w:rsidR="00D97AE7" w:rsidRPr="00887B17">
        <w:rPr>
          <w:rFonts w:cs="Arial"/>
          <w:vanish/>
          <w:color w:val="000000" w:themeColor="text1"/>
          <w:lang w:eastAsia="en-ZA"/>
        </w:rPr>
        <w:t xml:space="preserve">The term ‘plausible’, in this context, means ‘acceptable, credible, suitable’. See </w:t>
      </w:r>
      <w:r w:rsidR="00D97AE7" w:rsidRPr="00887B17">
        <w:rPr>
          <w:rFonts w:cs="Arial"/>
          <w:i/>
          <w:iCs/>
          <w:vanish/>
          <w:color w:val="000000" w:themeColor="text1"/>
          <w:lang w:eastAsia="en-ZA"/>
        </w:rPr>
        <w:t xml:space="preserve">Ocean Accident and Guarantee Corporation Ltd v Koch </w:t>
      </w:r>
      <w:r w:rsidR="00D97AE7" w:rsidRPr="00887B17">
        <w:rPr>
          <w:rFonts w:cs="Arial"/>
          <w:vanish/>
          <w:color w:val="000000" w:themeColor="text1"/>
          <w:lang w:eastAsia="en-ZA"/>
        </w:rPr>
        <w:t>1963 (4) SA 147 (A) at 159C–D.</w:t>
      </w:r>
    </w:p>
  </w:footnote>
  <w:footnote w:id="33">
    <w:p w14:paraId="78F9EE1A" w14:textId="619FCA5D" w:rsidR="00C807D3" w:rsidRPr="00887B17" w:rsidRDefault="00C807D3"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r>
      <w:r w:rsidR="00357717" w:rsidRPr="00887B17">
        <w:rPr>
          <w:rFonts w:cs="Arial"/>
          <w:i/>
          <w:iCs/>
          <w:color w:val="000000" w:themeColor="text1"/>
          <w:lang w:eastAsia="en-ZA"/>
        </w:rPr>
        <w:t>Govan v Skidmore</w:t>
      </w:r>
      <w:r w:rsidR="00AD382C" w:rsidRPr="00887B17">
        <w:rPr>
          <w:rFonts w:cs="Arial"/>
          <w:color w:val="000000" w:themeColor="text1"/>
          <w:lang w:val="en-US"/>
        </w:rPr>
        <w:t xml:space="preserve"> </w:t>
      </w:r>
      <w:r w:rsidR="00AD382C" w:rsidRPr="00887B17">
        <w:rPr>
          <w:rFonts w:cs="Arial"/>
          <w:vanish/>
          <w:color w:val="000000" w:themeColor="text1"/>
          <w:lang w:eastAsia="en-ZA"/>
        </w:rPr>
        <w:t>1952 (1) SA 732 (N) at 734A–B and C–D</w:t>
      </w:r>
      <w:r w:rsidR="00357717" w:rsidRPr="00887B17">
        <w:rPr>
          <w:rFonts w:cs="Arial"/>
          <w:vanish/>
          <w:color w:val="000000" w:themeColor="text1"/>
          <w:lang w:eastAsia="en-ZA"/>
        </w:rPr>
        <w:t xml:space="preserve">, quoted with approval in </w:t>
      </w:r>
      <w:r w:rsidR="00357717" w:rsidRPr="00887B17">
        <w:rPr>
          <w:rFonts w:cs="Arial"/>
          <w:i/>
          <w:iCs/>
          <w:vanish/>
          <w:color w:val="000000" w:themeColor="text1"/>
          <w:lang w:eastAsia="en-ZA"/>
        </w:rPr>
        <w:t>Ocean Accident (supra).</w:t>
      </w:r>
    </w:p>
  </w:footnote>
  <w:footnote w:id="34">
    <w:p w14:paraId="7F689D6F" w14:textId="77777777" w:rsidR="0038681F" w:rsidRPr="00887B17" w:rsidRDefault="0038681F" w:rsidP="00887B17">
      <w:pPr>
        <w:ind w:left="284" w:hanging="284"/>
        <w:jc w:val="both"/>
        <w:rPr>
          <w:rFonts w:cs="Arial"/>
          <w:color w:val="000000" w:themeColor="text1"/>
          <w:sz w:val="20"/>
          <w:szCs w:val="20"/>
        </w:rPr>
      </w:pPr>
      <w:r w:rsidRPr="00887B17">
        <w:rPr>
          <w:rStyle w:val="FootnoteReference"/>
          <w:rFonts w:cs="Arial"/>
          <w:color w:val="000000" w:themeColor="text1"/>
          <w:sz w:val="20"/>
          <w:szCs w:val="20"/>
        </w:rPr>
        <w:footnoteRef/>
      </w:r>
      <w:r w:rsidRPr="00887B17">
        <w:rPr>
          <w:rFonts w:cs="Arial"/>
          <w:color w:val="000000" w:themeColor="text1"/>
          <w:sz w:val="20"/>
          <w:szCs w:val="20"/>
        </w:rPr>
        <w:t xml:space="preserve"> </w:t>
      </w:r>
      <w:r w:rsidRPr="00887B17">
        <w:rPr>
          <w:rFonts w:cs="Arial"/>
          <w:color w:val="000000" w:themeColor="text1"/>
          <w:sz w:val="20"/>
          <w:szCs w:val="20"/>
          <w:lang w:val="en-US"/>
        </w:rPr>
        <w:tab/>
      </w:r>
      <w:r w:rsidRPr="00887B17">
        <w:rPr>
          <w:rFonts w:cs="Arial"/>
          <w:i/>
          <w:iCs/>
          <w:color w:val="000000" w:themeColor="text1"/>
          <w:sz w:val="20"/>
          <w:szCs w:val="20"/>
        </w:rPr>
        <w:t>AA Onderlinge Assuransie-Assosiasie Bpk v De Beer</w:t>
      </w:r>
      <w:r w:rsidRPr="00887B17">
        <w:rPr>
          <w:rFonts w:cs="Arial"/>
          <w:color w:val="000000" w:themeColor="text1"/>
          <w:sz w:val="20"/>
          <w:szCs w:val="20"/>
        </w:rPr>
        <w:t xml:space="preserve"> 1982 (2) SA 603 (A).</w:t>
      </w:r>
    </w:p>
  </w:footnote>
  <w:footnote w:id="35">
    <w:p w14:paraId="24D46136" w14:textId="6EE6F104" w:rsidR="00B96DA9" w:rsidRPr="00887B17" w:rsidRDefault="00B96DA9"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615430" w:rsidRPr="00887B17">
        <w:rPr>
          <w:rFonts w:cs="Arial"/>
          <w:color w:val="000000" w:themeColor="text1"/>
          <w:lang w:val="en-US"/>
        </w:rPr>
        <w:tab/>
      </w:r>
      <w:r w:rsidR="00D76318" w:rsidRPr="00887B17">
        <w:rPr>
          <w:rFonts w:cs="Arial"/>
          <w:i/>
          <w:iCs/>
          <w:color w:val="000000" w:themeColor="text1"/>
          <w:lang w:eastAsia="en-ZA"/>
        </w:rPr>
        <w:t>Cooper &amp; Another NNO v Merchant Trade Finance Ltd</w:t>
      </w:r>
      <w:r w:rsidR="00C807D3" w:rsidRPr="00887B17">
        <w:rPr>
          <w:rFonts w:cs="Arial"/>
          <w:i/>
          <w:iCs/>
          <w:color w:val="000000" w:themeColor="text1"/>
          <w:lang w:eastAsia="en-ZA"/>
        </w:rPr>
        <w:t xml:space="preserve"> </w:t>
      </w:r>
      <w:r w:rsidR="00C807D3" w:rsidRPr="00887B17">
        <w:rPr>
          <w:rFonts w:cs="Arial"/>
          <w:vanish/>
          <w:color w:val="000000" w:themeColor="text1"/>
          <w:lang w:eastAsia="en-ZA"/>
        </w:rPr>
        <w:t>2000 (3) SA 1009 (SCA) at 1027–1028.</w:t>
      </w:r>
    </w:p>
  </w:footnote>
  <w:footnote w:id="36">
    <w:p w14:paraId="327AD33A" w14:textId="2FE9D17E" w:rsidR="00E00EE3" w:rsidRPr="00887B17" w:rsidRDefault="00E00EE3"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2C7F44" w:rsidRPr="00887B17">
        <w:rPr>
          <w:rFonts w:cs="Arial"/>
          <w:color w:val="000000" w:themeColor="text1"/>
          <w:lang w:val="en-US"/>
        </w:rPr>
        <w:tab/>
        <w:t>City AA para 58, rec. 493.</w:t>
      </w:r>
    </w:p>
  </w:footnote>
  <w:footnote w:id="37">
    <w:p w14:paraId="105402C7" w14:textId="76088F9C" w:rsidR="00C616DA" w:rsidRPr="00887B17" w:rsidRDefault="00C616DA"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2C7F44" w:rsidRPr="00887B17">
        <w:rPr>
          <w:rFonts w:cs="Arial"/>
          <w:color w:val="000000" w:themeColor="text1"/>
        </w:rPr>
        <w:tab/>
      </w:r>
      <w:r w:rsidR="00892EFE" w:rsidRPr="00887B17">
        <w:rPr>
          <w:rFonts w:cs="Arial"/>
          <w:color w:val="000000" w:themeColor="text1"/>
          <w:lang w:val="en-US"/>
        </w:rPr>
        <w:t xml:space="preserve">City AA para 58, rec. 493. </w:t>
      </w:r>
    </w:p>
  </w:footnote>
  <w:footnote w:id="38">
    <w:p w14:paraId="7340374A" w14:textId="5347C155" w:rsidR="00DA185A" w:rsidRPr="00887B17" w:rsidRDefault="00DA185A"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1847ED" w:rsidRPr="00887B17">
        <w:rPr>
          <w:rFonts w:cs="Arial"/>
          <w:color w:val="000000" w:themeColor="text1"/>
          <w:lang w:val="en-US"/>
        </w:rPr>
        <w:tab/>
      </w:r>
      <w:r w:rsidR="00AA364E" w:rsidRPr="00887B17">
        <w:rPr>
          <w:rFonts w:cs="Arial"/>
          <w:color w:val="000000" w:themeColor="text1"/>
          <w:lang w:val="en-US"/>
        </w:rPr>
        <w:t xml:space="preserve">City AA para </w:t>
      </w:r>
      <w:r w:rsidR="00AD6C36" w:rsidRPr="00887B17">
        <w:rPr>
          <w:rFonts w:cs="Arial"/>
          <w:color w:val="000000" w:themeColor="text1"/>
          <w:lang w:val="en-US"/>
        </w:rPr>
        <w:t xml:space="preserve">59 </w:t>
      </w:r>
      <w:r w:rsidR="00D227E2" w:rsidRPr="00887B17">
        <w:rPr>
          <w:rFonts w:cs="Arial"/>
          <w:color w:val="000000" w:themeColor="text1"/>
          <w:lang w:val="en-US"/>
        </w:rPr>
        <w:t>–</w:t>
      </w:r>
      <w:r w:rsidR="00AD6C36" w:rsidRPr="00887B17">
        <w:rPr>
          <w:rFonts w:cs="Arial"/>
          <w:color w:val="000000" w:themeColor="text1"/>
          <w:lang w:val="en-US"/>
        </w:rPr>
        <w:t xml:space="preserve"> </w:t>
      </w:r>
      <w:r w:rsidR="00D227E2" w:rsidRPr="00887B17">
        <w:rPr>
          <w:rFonts w:cs="Arial"/>
          <w:color w:val="000000" w:themeColor="text1"/>
          <w:lang w:val="en-US"/>
        </w:rPr>
        <w:t xml:space="preserve">69, rec. 493 – 500; City SAA para </w:t>
      </w:r>
      <w:r w:rsidR="00F86BDD" w:rsidRPr="00887B17">
        <w:rPr>
          <w:rFonts w:cs="Arial"/>
          <w:color w:val="000000" w:themeColor="text1"/>
          <w:lang w:val="en-US"/>
        </w:rPr>
        <w:t xml:space="preserve">53 </w:t>
      </w:r>
      <w:r w:rsidR="007D07F9" w:rsidRPr="00887B17">
        <w:rPr>
          <w:rFonts w:cs="Arial"/>
          <w:color w:val="000000" w:themeColor="text1"/>
          <w:lang w:val="en-US"/>
        </w:rPr>
        <w:t>–</w:t>
      </w:r>
      <w:r w:rsidR="00F86BDD" w:rsidRPr="00887B17">
        <w:rPr>
          <w:rFonts w:cs="Arial"/>
          <w:color w:val="000000" w:themeColor="text1"/>
          <w:lang w:val="en-US"/>
        </w:rPr>
        <w:t xml:space="preserve"> </w:t>
      </w:r>
      <w:r w:rsidR="007D07F9" w:rsidRPr="00887B17">
        <w:rPr>
          <w:rFonts w:cs="Arial"/>
          <w:color w:val="000000" w:themeColor="text1"/>
          <w:lang w:val="en-US"/>
        </w:rPr>
        <w:t xml:space="preserve">55, rec. </w:t>
      </w:r>
      <w:r w:rsidR="00BA029C" w:rsidRPr="00887B17">
        <w:rPr>
          <w:rFonts w:cs="Arial"/>
          <w:color w:val="000000" w:themeColor="text1"/>
          <w:lang w:val="en-US"/>
        </w:rPr>
        <w:t xml:space="preserve">656 </w:t>
      </w:r>
      <w:r w:rsidR="00A73812" w:rsidRPr="00887B17">
        <w:rPr>
          <w:rFonts w:cs="Arial"/>
          <w:color w:val="000000" w:themeColor="text1"/>
          <w:lang w:val="en-US"/>
        </w:rPr>
        <w:t>–</w:t>
      </w:r>
      <w:r w:rsidR="00BA029C" w:rsidRPr="00887B17">
        <w:rPr>
          <w:rFonts w:cs="Arial"/>
          <w:color w:val="000000" w:themeColor="text1"/>
          <w:lang w:val="en-US"/>
        </w:rPr>
        <w:t xml:space="preserve"> 65</w:t>
      </w:r>
      <w:r w:rsidR="0064216D" w:rsidRPr="00887B17">
        <w:rPr>
          <w:rFonts w:cs="Arial"/>
          <w:color w:val="000000" w:themeColor="text1"/>
          <w:lang w:val="en-US"/>
        </w:rPr>
        <w:t>8</w:t>
      </w:r>
      <w:r w:rsidR="00A73812" w:rsidRPr="00887B17">
        <w:rPr>
          <w:rFonts w:cs="Arial"/>
          <w:color w:val="000000" w:themeColor="text1"/>
          <w:lang w:val="en-US"/>
        </w:rPr>
        <w:t>.</w:t>
      </w:r>
    </w:p>
  </w:footnote>
  <w:footnote w:id="39">
    <w:p w14:paraId="75D1D05C" w14:textId="1EBA8045" w:rsidR="005316BF" w:rsidRPr="00887B17" w:rsidRDefault="005316BF"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t xml:space="preserve">Al-Habsy, para </w:t>
      </w:r>
      <w:r w:rsidR="00377C08" w:rsidRPr="00887B17">
        <w:rPr>
          <w:rFonts w:cs="Arial"/>
          <w:color w:val="000000" w:themeColor="text1"/>
          <w:lang w:val="en-US"/>
        </w:rPr>
        <w:t xml:space="preserve">14 -15, rec. 594; </w:t>
      </w:r>
      <w:r w:rsidR="00D93C3A" w:rsidRPr="00887B17">
        <w:rPr>
          <w:rFonts w:cs="Arial"/>
          <w:color w:val="000000" w:themeColor="text1"/>
          <w:lang w:val="en-US"/>
        </w:rPr>
        <w:t xml:space="preserve">para 58 </w:t>
      </w:r>
      <w:r w:rsidR="009213DE" w:rsidRPr="00887B17">
        <w:rPr>
          <w:rFonts w:cs="Arial"/>
          <w:color w:val="000000" w:themeColor="text1"/>
          <w:lang w:val="en-US"/>
        </w:rPr>
        <w:t>–</w:t>
      </w:r>
      <w:r w:rsidR="00D93C3A" w:rsidRPr="00887B17">
        <w:rPr>
          <w:rFonts w:cs="Arial"/>
          <w:color w:val="000000" w:themeColor="text1"/>
          <w:lang w:val="en-US"/>
        </w:rPr>
        <w:t xml:space="preserve"> </w:t>
      </w:r>
      <w:r w:rsidR="009213DE" w:rsidRPr="00887B17">
        <w:rPr>
          <w:rFonts w:cs="Arial"/>
          <w:color w:val="000000" w:themeColor="text1"/>
          <w:lang w:val="en-US"/>
        </w:rPr>
        <w:t xml:space="preserve">63, rec. </w:t>
      </w:r>
      <w:r w:rsidR="00EC76C7" w:rsidRPr="00887B17">
        <w:rPr>
          <w:rFonts w:cs="Arial"/>
          <w:color w:val="000000" w:themeColor="text1"/>
          <w:lang w:val="en-US"/>
        </w:rPr>
        <w:t>605 – 606.</w:t>
      </w:r>
    </w:p>
  </w:footnote>
  <w:footnote w:id="40">
    <w:p w14:paraId="4E45CD47" w14:textId="3D81FD3B" w:rsidR="00EC76C7" w:rsidRPr="00887B17" w:rsidRDefault="00EC76C7"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t xml:space="preserve">RA para </w:t>
      </w:r>
      <w:r w:rsidR="009036E0" w:rsidRPr="00887B17">
        <w:rPr>
          <w:rFonts w:cs="Arial"/>
          <w:color w:val="000000" w:themeColor="text1"/>
          <w:lang w:val="en-US"/>
        </w:rPr>
        <w:t>54, rec. 708</w:t>
      </w:r>
      <w:r w:rsidR="00814693" w:rsidRPr="00887B17">
        <w:rPr>
          <w:rFonts w:cs="Arial"/>
          <w:color w:val="000000" w:themeColor="text1"/>
          <w:lang w:val="en-US"/>
        </w:rPr>
        <w:t xml:space="preserve">; para 56 – 58, rec. </w:t>
      </w:r>
      <w:r w:rsidR="00DD25B7" w:rsidRPr="00887B17">
        <w:rPr>
          <w:rFonts w:cs="Arial"/>
          <w:color w:val="000000" w:themeColor="text1"/>
          <w:lang w:val="en-US"/>
        </w:rPr>
        <w:t>709</w:t>
      </w:r>
      <w:r w:rsidR="005F3B68" w:rsidRPr="00887B17">
        <w:rPr>
          <w:rFonts w:cs="Arial"/>
          <w:color w:val="000000" w:themeColor="text1"/>
          <w:lang w:val="en-US"/>
        </w:rPr>
        <w:t xml:space="preserve">; para 151 </w:t>
      </w:r>
      <w:r w:rsidR="000A4F8F" w:rsidRPr="00887B17">
        <w:rPr>
          <w:rFonts w:cs="Arial"/>
          <w:color w:val="000000" w:themeColor="text1"/>
          <w:lang w:val="en-US"/>
        </w:rPr>
        <w:t>–</w:t>
      </w:r>
      <w:r w:rsidR="005F3B68" w:rsidRPr="00887B17">
        <w:rPr>
          <w:rFonts w:cs="Arial"/>
          <w:color w:val="000000" w:themeColor="text1"/>
          <w:lang w:val="en-US"/>
        </w:rPr>
        <w:t xml:space="preserve"> </w:t>
      </w:r>
      <w:r w:rsidR="000A4F8F" w:rsidRPr="00887B17">
        <w:rPr>
          <w:rFonts w:cs="Arial"/>
          <w:color w:val="000000" w:themeColor="text1"/>
          <w:lang w:val="en-US"/>
        </w:rPr>
        <w:t>154, rec. 729</w:t>
      </w:r>
      <w:r w:rsidR="002C702C" w:rsidRPr="00887B17">
        <w:rPr>
          <w:rFonts w:cs="Arial"/>
          <w:color w:val="000000" w:themeColor="text1"/>
          <w:lang w:val="en-US"/>
        </w:rPr>
        <w:t>.</w:t>
      </w:r>
    </w:p>
  </w:footnote>
  <w:footnote w:id="41">
    <w:p w14:paraId="49D9FC0F" w14:textId="6ACA9990" w:rsidR="00031D96" w:rsidRPr="00887B17" w:rsidRDefault="00031D96"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BE4E13" w:rsidRPr="00887B17">
        <w:rPr>
          <w:rFonts w:cs="Arial"/>
          <w:color w:val="000000" w:themeColor="text1"/>
        </w:rPr>
        <w:tab/>
      </w:r>
      <w:r w:rsidRPr="00887B17">
        <w:rPr>
          <w:rFonts w:cs="Arial"/>
          <w:color w:val="000000" w:themeColor="text1"/>
          <w:lang w:val="en-US"/>
        </w:rPr>
        <w:t>City AA para 60, rec. 494.</w:t>
      </w:r>
    </w:p>
  </w:footnote>
  <w:footnote w:id="42">
    <w:p w14:paraId="3F8DCF8F" w14:textId="77777777" w:rsidR="00CA20A1" w:rsidRPr="00887B17" w:rsidRDefault="00CA20A1"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color w:val="000000" w:themeColor="text1"/>
          <w:lang w:val="en-US"/>
        </w:rPr>
        <w:t xml:space="preserve">City AA para 62, rec. 496. </w:t>
      </w:r>
    </w:p>
  </w:footnote>
  <w:footnote w:id="43">
    <w:p w14:paraId="568F846F" w14:textId="4C28AD42" w:rsidR="009371D0" w:rsidRPr="00887B17" w:rsidRDefault="009371D0"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117BCB" w:rsidRPr="00887B17">
        <w:rPr>
          <w:rFonts w:cs="Arial"/>
          <w:color w:val="000000" w:themeColor="text1"/>
          <w:lang w:val="en-US"/>
        </w:rPr>
        <w:tab/>
        <w:t>City AA para 65.3, rec. 498.</w:t>
      </w:r>
    </w:p>
  </w:footnote>
  <w:footnote w:id="44">
    <w:p w14:paraId="546AA961" w14:textId="797210DC" w:rsidR="007E294E" w:rsidRPr="00887B17" w:rsidRDefault="007E294E"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170763" w:rsidRPr="00887B17">
        <w:rPr>
          <w:rFonts w:cs="Arial"/>
          <w:color w:val="000000" w:themeColor="text1"/>
        </w:rPr>
        <w:tab/>
      </w:r>
      <w:r w:rsidRPr="00887B17">
        <w:rPr>
          <w:rFonts w:cs="Arial"/>
          <w:color w:val="000000" w:themeColor="text1"/>
          <w:lang w:val="en-US"/>
        </w:rPr>
        <w:t xml:space="preserve">City AA para 61, rec. 495 – 496. </w:t>
      </w:r>
    </w:p>
  </w:footnote>
  <w:footnote w:id="45">
    <w:p w14:paraId="15F87804" w14:textId="77777777" w:rsidR="00D97A71" w:rsidRPr="00887B17" w:rsidRDefault="00D97A71"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color w:val="000000" w:themeColor="text1"/>
          <w:lang w:val="en-US"/>
        </w:rPr>
        <w:t xml:space="preserve">City AA para 61, rec. 495 – 496. </w:t>
      </w:r>
    </w:p>
  </w:footnote>
  <w:footnote w:id="46">
    <w:p w14:paraId="7513B49A" w14:textId="4B0A4C23" w:rsidR="00C73BD8" w:rsidRPr="00887B17" w:rsidRDefault="00C73BD8"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905311" w:rsidRPr="00887B17">
        <w:rPr>
          <w:rFonts w:cs="Arial"/>
          <w:color w:val="000000" w:themeColor="text1"/>
        </w:rPr>
        <w:tab/>
      </w:r>
      <w:r w:rsidRPr="00887B17">
        <w:rPr>
          <w:rFonts w:cs="Arial"/>
          <w:color w:val="000000" w:themeColor="text1"/>
          <w:lang w:val="en-US"/>
        </w:rPr>
        <w:t xml:space="preserve">City AA para 63, rec. 496 – 497. </w:t>
      </w:r>
    </w:p>
  </w:footnote>
  <w:footnote w:id="47">
    <w:p w14:paraId="3335123C" w14:textId="77777777" w:rsidR="00160281" w:rsidRPr="00887B17" w:rsidRDefault="00160281"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color w:val="000000" w:themeColor="text1"/>
          <w:lang w:val="en-US"/>
        </w:rPr>
        <w:t xml:space="preserve">City AA para 63, rec. 496 – 497. </w:t>
      </w:r>
    </w:p>
  </w:footnote>
  <w:footnote w:id="48">
    <w:p w14:paraId="11297EC0" w14:textId="136907FF" w:rsidR="00614A98" w:rsidRPr="00887B17" w:rsidRDefault="00614A98"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980949" w:rsidRPr="00887B17">
        <w:rPr>
          <w:rFonts w:cs="Arial"/>
          <w:color w:val="000000" w:themeColor="text1"/>
        </w:rPr>
        <w:tab/>
      </w:r>
      <w:r w:rsidRPr="00887B17">
        <w:rPr>
          <w:rFonts w:cs="Arial"/>
          <w:color w:val="000000" w:themeColor="text1"/>
          <w:lang w:val="en-US"/>
        </w:rPr>
        <w:t xml:space="preserve">City AA para 64, rec. 497. </w:t>
      </w:r>
    </w:p>
  </w:footnote>
  <w:footnote w:id="49">
    <w:p w14:paraId="6AF53208" w14:textId="20B8F299" w:rsidR="00D67B94" w:rsidRPr="00887B17" w:rsidRDefault="00D67B94"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DA4678" w:rsidRPr="00887B17">
        <w:rPr>
          <w:rFonts w:cs="Arial"/>
          <w:color w:val="000000" w:themeColor="text1"/>
        </w:rPr>
        <w:tab/>
      </w:r>
      <w:r w:rsidRPr="00887B17">
        <w:rPr>
          <w:rFonts w:cs="Arial"/>
          <w:color w:val="000000" w:themeColor="text1"/>
          <w:lang w:val="en-US"/>
        </w:rPr>
        <w:t xml:space="preserve">City AA para 65 to 65.3.4, rec. 497 – 498. </w:t>
      </w:r>
    </w:p>
  </w:footnote>
  <w:footnote w:id="50">
    <w:p w14:paraId="4F6F5934" w14:textId="47370D6F" w:rsidR="00BD30DC" w:rsidRPr="00887B17" w:rsidRDefault="00BD30D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0B48A6" w:rsidRPr="00887B17">
        <w:rPr>
          <w:rFonts w:cs="Arial"/>
          <w:color w:val="000000" w:themeColor="text1"/>
          <w:lang w:val="en-US"/>
        </w:rPr>
        <w:tab/>
        <w:t>City AA para 65</w:t>
      </w:r>
      <w:r w:rsidR="00DE6CD9" w:rsidRPr="00887B17">
        <w:rPr>
          <w:rFonts w:cs="Arial"/>
          <w:color w:val="000000" w:themeColor="text1"/>
          <w:lang w:val="en-US"/>
        </w:rPr>
        <w:t>.1, rec. 497.</w:t>
      </w:r>
    </w:p>
  </w:footnote>
  <w:footnote w:id="51">
    <w:p w14:paraId="0539DFC5" w14:textId="51AFA7E9" w:rsidR="00DA4678" w:rsidRPr="00887B17" w:rsidRDefault="00DA4678"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t>City AA para 65.</w:t>
      </w:r>
      <w:r w:rsidR="00E90D43" w:rsidRPr="00887B17">
        <w:rPr>
          <w:rFonts w:cs="Arial"/>
          <w:color w:val="000000" w:themeColor="text1"/>
          <w:lang w:val="en-US"/>
        </w:rPr>
        <w:t>2</w:t>
      </w:r>
      <w:r w:rsidRPr="00887B17">
        <w:rPr>
          <w:rFonts w:cs="Arial"/>
          <w:color w:val="000000" w:themeColor="text1"/>
          <w:lang w:val="en-US"/>
        </w:rPr>
        <w:t>, rec. 497.</w:t>
      </w:r>
    </w:p>
  </w:footnote>
  <w:footnote w:id="52">
    <w:p w14:paraId="100E2D90" w14:textId="6BD6CAC3" w:rsidR="00BC3DAC" w:rsidRPr="00887B17" w:rsidRDefault="00BC3DA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837F3E" w:rsidRPr="00887B17">
        <w:rPr>
          <w:rFonts w:cs="Arial"/>
          <w:color w:val="000000" w:themeColor="text1"/>
        </w:rPr>
        <w:tab/>
      </w:r>
      <w:r w:rsidRPr="00887B17">
        <w:rPr>
          <w:rFonts w:cs="Arial"/>
          <w:color w:val="000000" w:themeColor="text1"/>
          <w:lang w:val="en-US"/>
        </w:rPr>
        <w:t xml:space="preserve">City AA para 66 rec. 498 – 500. </w:t>
      </w:r>
    </w:p>
  </w:footnote>
  <w:footnote w:id="53">
    <w:p w14:paraId="3FF757D8" w14:textId="336E6428" w:rsidR="00A61FB0" w:rsidRPr="00887B17" w:rsidRDefault="00A61FB0"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t>Al-Habsy para 14 -15, rec. 594; para 58 – 63, rec. 605 – 606.</w:t>
      </w:r>
    </w:p>
  </w:footnote>
  <w:footnote w:id="54">
    <w:p w14:paraId="77CF7026" w14:textId="6AB4B926" w:rsidR="007D4623" w:rsidRPr="00887B17" w:rsidRDefault="007D4623"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5F2F4F" w:rsidRPr="00887B17">
        <w:rPr>
          <w:rFonts w:cs="Arial"/>
          <w:color w:val="000000" w:themeColor="text1"/>
        </w:rPr>
        <w:tab/>
      </w:r>
      <w:r w:rsidR="00446D62" w:rsidRPr="00887B17">
        <w:rPr>
          <w:rFonts w:cs="Arial"/>
          <w:color w:val="000000" w:themeColor="text1"/>
          <w:lang w:val="en-US"/>
        </w:rPr>
        <w:t xml:space="preserve">Al-Habsy </w:t>
      </w:r>
      <w:r w:rsidRPr="00887B17">
        <w:rPr>
          <w:rFonts w:cs="Arial"/>
          <w:color w:val="000000" w:themeColor="text1"/>
        </w:rPr>
        <w:t>para 58, rec. 605</w:t>
      </w:r>
      <w:r w:rsidR="00446D62" w:rsidRPr="00887B17">
        <w:rPr>
          <w:rFonts w:cs="Arial"/>
          <w:color w:val="000000" w:themeColor="text1"/>
        </w:rPr>
        <w:t>.</w:t>
      </w:r>
    </w:p>
  </w:footnote>
  <w:footnote w:id="55">
    <w:p w14:paraId="43391DB7" w14:textId="77777777" w:rsidR="00B80198" w:rsidRPr="00887B17" w:rsidRDefault="00B80198"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color w:val="000000" w:themeColor="text1"/>
          <w:lang w:val="en-US"/>
        </w:rPr>
        <w:t xml:space="preserve">Al-Habsy </w:t>
      </w:r>
      <w:r w:rsidRPr="00887B17">
        <w:rPr>
          <w:rFonts w:cs="Arial"/>
          <w:color w:val="000000" w:themeColor="text1"/>
        </w:rPr>
        <w:t>para 58, rec. 605.</w:t>
      </w:r>
    </w:p>
  </w:footnote>
  <w:footnote w:id="56">
    <w:p w14:paraId="529BDE02" w14:textId="77777777" w:rsidR="00D51B2F" w:rsidRPr="00887B17" w:rsidRDefault="00D51B2F"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color w:val="000000" w:themeColor="text1"/>
          <w:lang w:val="en-US"/>
        </w:rPr>
        <w:t xml:space="preserve">City SAA, para 54, rec. 657, </w:t>
      </w:r>
    </w:p>
  </w:footnote>
  <w:footnote w:id="57">
    <w:p w14:paraId="71D9400C" w14:textId="13462028" w:rsidR="00D17931" w:rsidRPr="00887B17" w:rsidRDefault="00D17931" w:rsidP="00887B17">
      <w:pPr>
        <w:pStyle w:val="FootnoteText"/>
        <w:rPr>
          <w:rFonts w:cs="Arial"/>
          <w:iCs/>
          <w:color w:val="000000" w:themeColor="text1"/>
        </w:rPr>
      </w:pPr>
      <w:r w:rsidRPr="00887B17">
        <w:rPr>
          <w:rStyle w:val="FootnoteReference"/>
          <w:rFonts w:eastAsiaTheme="majorEastAsia"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iCs/>
          <w:color w:val="000000" w:themeColor="text1"/>
        </w:rPr>
        <w:t>Tantoush v Refugee Appeal Board</w:t>
      </w:r>
      <w:r w:rsidRPr="00887B17">
        <w:rPr>
          <w:rFonts w:cs="Arial"/>
          <w:color w:val="000000" w:themeColor="text1"/>
        </w:rPr>
        <w:t xml:space="preserve"> 2008 (1) SA 232 (T) para 50 - 51.  </w:t>
      </w:r>
      <w:r w:rsidRPr="00887B17">
        <w:rPr>
          <w:rFonts w:cs="Arial"/>
          <w:iCs/>
          <w:color w:val="000000" w:themeColor="text1"/>
        </w:rPr>
        <w:t xml:space="preserve">See also </w:t>
      </w:r>
      <w:r w:rsidRPr="00887B17">
        <w:rPr>
          <w:rFonts w:cs="Arial"/>
          <w:i/>
          <w:color w:val="000000" w:themeColor="text1"/>
        </w:rPr>
        <w:t>Pretoria Portland Cement Company Ltd. and Another v Competition Commission and Others</w:t>
      </w:r>
      <w:r w:rsidRPr="00887B17">
        <w:rPr>
          <w:rFonts w:cs="Arial"/>
          <w:color w:val="000000" w:themeColor="text1"/>
        </w:rPr>
        <w:t xml:space="preserve"> 2003 (2) SA 385 (SCA) para 63 and </w:t>
      </w:r>
      <w:r w:rsidRPr="00887B17">
        <w:rPr>
          <w:rFonts w:cs="Arial"/>
          <w:i/>
          <w:color w:val="000000" w:themeColor="text1"/>
        </w:rPr>
        <w:t>Thint (Pty) Ltd v National Director of Public Prosecutions and Others, Zuma and Another v National Director of Public Prosecutions and Others</w:t>
      </w:r>
      <w:r w:rsidRPr="00887B17">
        <w:rPr>
          <w:rFonts w:cs="Arial"/>
          <w:i/>
          <w:iCs/>
          <w:color w:val="000000" w:themeColor="text1"/>
        </w:rPr>
        <w:t> </w:t>
      </w:r>
      <w:r w:rsidRPr="00887B17">
        <w:rPr>
          <w:rFonts w:cs="Arial"/>
          <w:iCs/>
          <w:color w:val="000000" w:themeColor="text1"/>
        </w:rPr>
        <w:t>2009 (1) SA 1 (CC) para 325 (per Ngobo J in the minority but not on this point).</w:t>
      </w:r>
    </w:p>
  </w:footnote>
  <w:footnote w:id="58">
    <w:p w14:paraId="141A2C66" w14:textId="213EAA46" w:rsidR="00F26364" w:rsidRPr="00887B17" w:rsidRDefault="00F26364" w:rsidP="00887B17">
      <w:pPr>
        <w:pStyle w:val="FootnoteText"/>
        <w:rPr>
          <w:rFonts w:cs="Arial"/>
          <w:iCs/>
          <w:color w:val="000000" w:themeColor="text1"/>
        </w:rPr>
      </w:pPr>
      <w:r w:rsidRPr="00887B17">
        <w:rPr>
          <w:rStyle w:val="FootnoteReference"/>
          <w:rFonts w:eastAsiaTheme="majorEastAsia"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iCs/>
          <w:color w:val="000000" w:themeColor="text1"/>
        </w:rPr>
        <w:t xml:space="preserve">Tantoush </w:t>
      </w:r>
      <w:r w:rsidRPr="00887B17">
        <w:rPr>
          <w:rFonts w:cs="Arial"/>
          <w:color w:val="000000" w:themeColor="text1"/>
        </w:rPr>
        <w:t xml:space="preserve">para 50 - 51.  </w:t>
      </w:r>
      <w:r w:rsidRPr="00887B17">
        <w:rPr>
          <w:rFonts w:cs="Arial"/>
          <w:iCs/>
          <w:color w:val="000000" w:themeColor="text1"/>
        </w:rPr>
        <w:t>See also para [71] where the Court emphasised:  ‘</w:t>
      </w:r>
      <w:r w:rsidRPr="00887B17">
        <w:rPr>
          <w:rFonts w:cs="Arial"/>
          <w:i/>
          <w:color w:val="000000" w:themeColor="text1"/>
        </w:rPr>
        <w:t>Moreover, as I have already intimated, where new material was introduced in reply, the respondents could have relied upon the principle enunciated in </w:t>
      </w:r>
      <w:r w:rsidRPr="00887B17">
        <w:rPr>
          <w:rFonts w:cs="Arial"/>
          <w:i/>
          <w:iCs/>
          <w:color w:val="000000" w:themeColor="text1"/>
        </w:rPr>
        <w:t>Sigaba v Minister of Defence and Police and another </w:t>
      </w:r>
      <w:r w:rsidRPr="00887B17">
        <w:rPr>
          <w:rFonts w:cs="Arial"/>
          <w:i/>
          <w:color w:val="000000" w:themeColor="text1"/>
        </w:rPr>
        <w:t>(</w:t>
      </w:r>
      <w:r w:rsidRPr="00887B17">
        <w:rPr>
          <w:rFonts w:cs="Arial"/>
          <w:i/>
          <w:iCs/>
          <w:color w:val="000000" w:themeColor="text1"/>
        </w:rPr>
        <w:t>supra</w:t>
      </w:r>
      <w:r w:rsidRPr="00887B17">
        <w:rPr>
          <w:rFonts w:cs="Arial"/>
          <w:i/>
          <w:color w:val="000000" w:themeColor="text1"/>
        </w:rPr>
        <w:t>) to seek leave to file additional affidavits in the sure likelihood that such leave would have been granted</w:t>
      </w:r>
      <w:r w:rsidRPr="00887B17">
        <w:rPr>
          <w:rFonts w:cs="Arial"/>
          <w:color w:val="000000" w:themeColor="text1"/>
        </w:rPr>
        <w:t>.’</w:t>
      </w:r>
    </w:p>
  </w:footnote>
  <w:footnote w:id="59">
    <w:p w14:paraId="3D9400A1" w14:textId="77777777" w:rsidR="00B328E0" w:rsidRPr="00887B17" w:rsidRDefault="00B328E0"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iCs/>
          <w:color w:val="000000" w:themeColor="text1"/>
          <w:lang w:val="en-US"/>
        </w:rPr>
        <w:t xml:space="preserve">Wightman t/a JW Construction v Headfour (Pty) Ltd and Another </w:t>
      </w:r>
      <w:r w:rsidRPr="00887B17">
        <w:rPr>
          <w:rFonts w:cs="Arial"/>
          <w:color w:val="000000" w:themeColor="text1"/>
          <w:lang w:val="en-US"/>
        </w:rPr>
        <w:t>2008 (3) SA 371 (SCA) para 13.</w:t>
      </w:r>
    </w:p>
  </w:footnote>
  <w:footnote w:id="60">
    <w:p w14:paraId="6F96AEA3" w14:textId="117EAB2E" w:rsidR="00BB077C" w:rsidRPr="00887B17" w:rsidRDefault="00BB077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t xml:space="preserve">City AA para </w:t>
      </w:r>
      <w:r w:rsidR="00A31822" w:rsidRPr="00887B17">
        <w:rPr>
          <w:rFonts w:cs="Arial"/>
          <w:color w:val="000000" w:themeColor="text1"/>
          <w:lang w:val="en-US"/>
        </w:rPr>
        <w:t>58, rec. 493.</w:t>
      </w:r>
    </w:p>
  </w:footnote>
  <w:footnote w:id="61">
    <w:p w14:paraId="10BAD05A" w14:textId="7B38C480" w:rsidR="00532E04" w:rsidRPr="00887B17" w:rsidRDefault="00532E04"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r>
      <w:r w:rsidR="00FC2793" w:rsidRPr="00887B17">
        <w:rPr>
          <w:rFonts w:cs="Arial"/>
          <w:color w:val="000000" w:themeColor="text1"/>
          <w:lang w:val="en-US"/>
        </w:rPr>
        <w:t xml:space="preserve">Al-Habsy </w:t>
      </w:r>
      <w:r w:rsidR="00B0709E" w:rsidRPr="00887B17">
        <w:rPr>
          <w:rFonts w:cs="Arial"/>
          <w:color w:val="000000" w:themeColor="text1"/>
          <w:lang w:val="en-US"/>
        </w:rPr>
        <w:t xml:space="preserve">para </w:t>
      </w:r>
      <w:r w:rsidR="00CB7D85" w:rsidRPr="00887B17">
        <w:rPr>
          <w:rFonts w:cs="Arial"/>
          <w:color w:val="000000" w:themeColor="text1"/>
          <w:lang w:val="en-US"/>
        </w:rPr>
        <w:t>20.</w:t>
      </w:r>
      <w:r w:rsidR="00A25808" w:rsidRPr="00887B17">
        <w:rPr>
          <w:rFonts w:cs="Arial"/>
          <w:color w:val="000000" w:themeColor="text1"/>
          <w:lang w:val="en-US"/>
        </w:rPr>
        <w:t>3 and 20.4, rec. 596;</w:t>
      </w:r>
      <w:r w:rsidR="00CB7D85" w:rsidRPr="00887B17">
        <w:rPr>
          <w:rFonts w:cs="Arial"/>
          <w:color w:val="000000" w:themeColor="text1"/>
          <w:lang w:val="en-US"/>
        </w:rPr>
        <w:t xml:space="preserve"> </w:t>
      </w:r>
      <w:r w:rsidR="00FC2793" w:rsidRPr="00887B17">
        <w:rPr>
          <w:rFonts w:cs="Arial"/>
          <w:color w:val="000000" w:themeColor="text1"/>
          <w:lang w:val="en-US"/>
        </w:rPr>
        <w:t>para 58, rec.</w:t>
      </w:r>
      <w:r w:rsidR="0031126E" w:rsidRPr="00887B17">
        <w:rPr>
          <w:rFonts w:cs="Arial"/>
          <w:color w:val="000000" w:themeColor="text1"/>
          <w:lang w:val="en-US"/>
        </w:rPr>
        <w:t xml:space="preserve"> 605.</w:t>
      </w:r>
    </w:p>
  </w:footnote>
  <w:footnote w:id="62">
    <w:p w14:paraId="0498F92D" w14:textId="00992595" w:rsidR="00422FA7" w:rsidRPr="00887B17" w:rsidRDefault="00422FA7"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9F7718" w:rsidRPr="00887B17">
        <w:rPr>
          <w:rFonts w:cs="Arial"/>
          <w:color w:val="000000" w:themeColor="text1"/>
          <w:lang w:val="en-US"/>
        </w:rPr>
        <w:tab/>
        <w:t>RA para 151, rec. 729.</w:t>
      </w:r>
    </w:p>
  </w:footnote>
  <w:footnote w:id="63">
    <w:p w14:paraId="6F032F97" w14:textId="77777777" w:rsidR="00193EEC" w:rsidRPr="00887B17" w:rsidRDefault="00193EE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iCs/>
          <w:color w:val="000000" w:themeColor="text1"/>
          <w:lang w:val="en-US"/>
        </w:rPr>
        <w:t>NDPP v Zuma</w:t>
      </w:r>
      <w:r w:rsidRPr="00887B17">
        <w:rPr>
          <w:rFonts w:cs="Arial"/>
          <w:color w:val="000000" w:themeColor="text1"/>
          <w:lang w:val="en-US"/>
        </w:rPr>
        <w:t xml:space="preserve"> 2009 (2) SA 277 (SCA), para 26.</w:t>
      </w:r>
    </w:p>
  </w:footnote>
  <w:footnote w:id="64">
    <w:p w14:paraId="3887F097" w14:textId="4D6BF045" w:rsidR="00F8347B" w:rsidRPr="00887B17" w:rsidRDefault="00F8347B"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E800D8" w:rsidRPr="00887B17">
        <w:rPr>
          <w:rFonts w:cs="Arial"/>
          <w:color w:val="000000" w:themeColor="text1"/>
        </w:rPr>
        <w:tab/>
      </w:r>
      <w:r w:rsidRPr="00887B17">
        <w:rPr>
          <w:rFonts w:cs="Arial"/>
          <w:color w:val="000000" w:themeColor="text1"/>
          <w:lang w:val="en-US"/>
        </w:rPr>
        <w:t>RA para 54, rec. 708.</w:t>
      </w:r>
    </w:p>
  </w:footnote>
  <w:footnote w:id="65">
    <w:p w14:paraId="4FC4FE2C" w14:textId="167F219A" w:rsidR="0012156A" w:rsidRPr="00887B17" w:rsidRDefault="0012156A" w:rsidP="00887B17">
      <w:pPr>
        <w:pStyle w:val="FootnoteText"/>
        <w:rPr>
          <w:rFonts w:cs="Arial"/>
          <w:color w:val="000000" w:themeColor="text1"/>
          <w:u w:val="single"/>
          <w:lang w:val="en-US"/>
        </w:rPr>
      </w:pPr>
      <w:r w:rsidRPr="00887B17">
        <w:rPr>
          <w:rStyle w:val="FootnoteReference"/>
          <w:rFonts w:cs="Arial"/>
          <w:color w:val="000000" w:themeColor="text1"/>
        </w:rPr>
        <w:footnoteRef/>
      </w:r>
      <w:r w:rsidRPr="00887B17">
        <w:rPr>
          <w:rFonts w:cs="Arial"/>
          <w:color w:val="000000" w:themeColor="text1"/>
        </w:rPr>
        <w:t xml:space="preserve"> </w:t>
      </w:r>
      <w:r w:rsidR="00E800D8" w:rsidRPr="00887B17">
        <w:rPr>
          <w:rFonts w:cs="Arial"/>
          <w:color w:val="000000" w:themeColor="text1"/>
        </w:rPr>
        <w:tab/>
      </w:r>
      <w:r w:rsidR="00E800D8" w:rsidRPr="00887B17">
        <w:rPr>
          <w:rFonts w:cs="Arial"/>
          <w:color w:val="000000" w:themeColor="text1"/>
        </w:rPr>
        <w:t xml:space="preserve">See </w:t>
      </w:r>
      <w:r w:rsidR="004B0370" w:rsidRPr="00887B17">
        <w:rPr>
          <w:rFonts w:cs="Arial"/>
          <w:i/>
          <w:iCs/>
          <w:color w:val="000000" w:themeColor="text1"/>
          <w:lang w:val="en-US"/>
        </w:rPr>
        <w:t xml:space="preserve">Shabalala and Others v Attorney-General of the Transvaal and Another </w:t>
      </w:r>
      <w:r w:rsidR="00193EA7" w:rsidRPr="00887B17">
        <w:rPr>
          <w:rFonts w:cs="Arial"/>
          <w:color w:val="000000" w:themeColor="text1"/>
          <w:lang w:val="en-US"/>
        </w:rPr>
        <w:t>1996 (1) SA 725</w:t>
      </w:r>
      <w:r w:rsidR="00C55D19" w:rsidRPr="00887B17">
        <w:rPr>
          <w:rFonts w:cs="Arial"/>
          <w:color w:val="000000" w:themeColor="text1"/>
          <w:lang w:val="en-US"/>
        </w:rPr>
        <w:t xml:space="preserve"> and the </w:t>
      </w:r>
      <w:r w:rsidR="00E81893" w:rsidRPr="00887B17">
        <w:rPr>
          <w:rFonts w:cs="Arial"/>
          <w:color w:val="000000" w:themeColor="text1"/>
          <w:lang w:val="en-US"/>
        </w:rPr>
        <w:t xml:space="preserve">relevant </w:t>
      </w:r>
      <w:r w:rsidR="00C55D19" w:rsidRPr="00887B17">
        <w:rPr>
          <w:rFonts w:cs="Arial"/>
          <w:color w:val="000000" w:themeColor="text1"/>
          <w:lang w:val="en-US"/>
        </w:rPr>
        <w:t xml:space="preserve">provisions of the </w:t>
      </w:r>
      <w:r w:rsidR="00E81893" w:rsidRPr="00887B17">
        <w:rPr>
          <w:rFonts w:cs="Arial"/>
          <w:color w:val="000000" w:themeColor="text1"/>
          <w:lang w:val="en-US"/>
        </w:rPr>
        <w:t>Protection of Personal Information Act 4 of 2013.</w:t>
      </w:r>
    </w:p>
  </w:footnote>
  <w:footnote w:id="66">
    <w:p w14:paraId="12FFCA78" w14:textId="77777777" w:rsidR="00920F92" w:rsidRPr="00887B17" w:rsidRDefault="00920F92"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t>RA, para 57, rec.709.</w:t>
      </w:r>
    </w:p>
  </w:footnote>
  <w:footnote w:id="67">
    <w:p w14:paraId="1358B290" w14:textId="77777777" w:rsidR="00320BAB" w:rsidRPr="00887B17" w:rsidRDefault="00320BAB"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t>RA para 58, rec. 709.</w:t>
      </w:r>
    </w:p>
  </w:footnote>
  <w:footnote w:id="68">
    <w:p w14:paraId="06152C26" w14:textId="631EA7E5" w:rsidR="007A2491" w:rsidRPr="00887B17" w:rsidRDefault="007A2491"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C11421" w:rsidRPr="00887B17">
        <w:rPr>
          <w:rFonts w:cs="Arial"/>
          <w:color w:val="000000" w:themeColor="text1"/>
        </w:rPr>
        <w:tab/>
      </w:r>
      <w:r w:rsidR="00C11421" w:rsidRPr="00887B17">
        <w:rPr>
          <w:rFonts w:cs="Arial"/>
          <w:i/>
          <w:iCs/>
          <w:color w:val="000000" w:themeColor="text1"/>
        </w:rPr>
        <w:t xml:space="preserve">The Construction </w:t>
      </w:r>
      <w:r w:rsidR="00C11421" w:rsidRPr="00887B17">
        <w:rPr>
          <w:rFonts w:cs="Arial"/>
          <w:i/>
          <w:iCs/>
          <w:color w:val="000000" w:themeColor="text1"/>
          <w:lang w:val="en-GB"/>
        </w:rPr>
        <w:t>Company (Pty) Ltd v City of Cape Town and Others</w:t>
      </w:r>
      <w:r w:rsidR="00C11421" w:rsidRPr="00887B17">
        <w:rPr>
          <w:rFonts w:cs="Arial"/>
          <w:color w:val="000000" w:themeColor="text1"/>
          <w:lang w:val="en-GB"/>
        </w:rPr>
        <w:t xml:space="preserve"> (2950/2024 22951/2023)</w:t>
      </w:r>
      <w:r w:rsidR="00C11421" w:rsidRPr="00887B17">
        <w:rPr>
          <w:rFonts w:cs="Arial"/>
          <w:color w:val="000000" w:themeColor="text1"/>
          <w:lang w:val="en-US"/>
        </w:rPr>
        <w:t xml:space="preserve"> [2025] ZAWCHC 552 (26 November 2025), para 46.</w:t>
      </w:r>
    </w:p>
  </w:footnote>
  <w:footnote w:id="69">
    <w:p w14:paraId="0AF19382" w14:textId="4B241C37" w:rsidR="009359D6" w:rsidRPr="00887B17" w:rsidRDefault="009359D6"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r>
      <w:r w:rsidRPr="00887B17">
        <w:rPr>
          <w:rFonts w:cs="Arial"/>
          <w:i/>
          <w:iCs/>
          <w:color w:val="000000" w:themeColor="text1"/>
        </w:rPr>
        <w:t xml:space="preserve">City of Johannesburg v Changing Tides 74 (Pty) Ltd and Others </w:t>
      </w:r>
      <w:r w:rsidRPr="00887B17">
        <w:rPr>
          <w:rFonts w:cs="Arial"/>
          <w:color w:val="000000" w:themeColor="text1"/>
        </w:rPr>
        <w:t>2012 (6) SA 294 (SCA), para 15.</w:t>
      </w:r>
    </w:p>
  </w:footnote>
  <w:footnote w:id="70">
    <w:p w14:paraId="31B62B5A" w14:textId="4337FE17" w:rsidR="004616D8" w:rsidRPr="00887B17" w:rsidRDefault="004616D8"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364895" w:rsidRPr="00887B17">
        <w:rPr>
          <w:rFonts w:cs="Arial"/>
          <w:color w:val="000000" w:themeColor="text1"/>
          <w:lang w:val="en-US"/>
        </w:rPr>
        <w:tab/>
      </w:r>
      <w:r w:rsidR="00364895" w:rsidRPr="00887B17">
        <w:rPr>
          <w:rFonts w:cs="Arial"/>
          <w:i/>
          <w:iCs/>
          <w:color w:val="000000" w:themeColor="text1"/>
          <w:lang w:val="en-US"/>
        </w:rPr>
        <w:t>Id</w:t>
      </w:r>
      <w:r w:rsidR="00364895" w:rsidRPr="00887B17">
        <w:rPr>
          <w:rFonts w:cs="Arial"/>
          <w:color w:val="000000" w:themeColor="text1"/>
          <w:lang w:val="en-US"/>
        </w:rPr>
        <w:t xml:space="preserve">. </w:t>
      </w:r>
      <w:r w:rsidR="00BC2A6C" w:rsidRPr="00887B17">
        <w:rPr>
          <w:rFonts w:cs="Arial"/>
          <w:color w:val="000000" w:themeColor="text1"/>
          <w:lang w:val="en-US"/>
        </w:rPr>
        <w:t xml:space="preserve"> </w:t>
      </w:r>
    </w:p>
  </w:footnote>
  <w:footnote w:id="71">
    <w:p w14:paraId="5422A868" w14:textId="1DC98A36" w:rsidR="00CA1400" w:rsidRPr="00887B17" w:rsidRDefault="00CA1400"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r>
      <w:r w:rsidRPr="00887B17">
        <w:rPr>
          <w:rFonts w:cs="Arial"/>
          <w:i/>
          <w:iCs/>
          <w:color w:val="000000" w:themeColor="text1"/>
        </w:rPr>
        <w:t>Government of the Republic of South Africa and Others v Grootboom and Others</w:t>
      </w:r>
      <w:r w:rsidRPr="00887B17">
        <w:rPr>
          <w:rFonts w:cs="Arial"/>
          <w:color w:val="000000" w:themeColor="text1"/>
        </w:rPr>
        <w:t xml:space="preserve"> 2001 (1) SA 46 (CC), para 95; </w:t>
      </w:r>
      <w:r w:rsidRPr="00887B17">
        <w:rPr>
          <w:rFonts w:cs="Arial"/>
          <w:i/>
          <w:iCs/>
          <w:color w:val="000000" w:themeColor="text1"/>
        </w:rPr>
        <w:t>Changing Tides</w:t>
      </w:r>
      <w:r w:rsidR="001A2E44" w:rsidRPr="00887B17">
        <w:rPr>
          <w:rFonts w:cs="Arial"/>
          <w:i/>
          <w:iCs/>
          <w:color w:val="000000" w:themeColor="text1"/>
        </w:rPr>
        <w:t>,</w:t>
      </w:r>
      <w:r w:rsidRPr="00887B17">
        <w:rPr>
          <w:rFonts w:cs="Arial"/>
          <w:color w:val="000000" w:themeColor="text1"/>
        </w:rPr>
        <w:t xml:space="preserve"> para 15.</w:t>
      </w:r>
    </w:p>
  </w:footnote>
  <w:footnote w:id="72">
    <w:p w14:paraId="0AB77A49" w14:textId="57C7FDE0" w:rsidR="002E663E" w:rsidRPr="00887B17" w:rsidRDefault="002E663E"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ab/>
      </w:r>
      <w:r w:rsidRPr="00887B17">
        <w:rPr>
          <w:rFonts w:cs="Arial"/>
          <w:i/>
          <w:iCs/>
          <w:color w:val="000000" w:themeColor="text1"/>
        </w:rPr>
        <w:t>Port Elizabeth Municipality v Various Occupiers</w:t>
      </w:r>
      <w:r w:rsidRPr="00887B17">
        <w:rPr>
          <w:rFonts w:cs="Arial"/>
          <w:color w:val="000000" w:themeColor="text1"/>
        </w:rPr>
        <w:t xml:space="preserve"> 2005 (1) SA 217 (CC), para </w:t>
      </w:r>
      <w:r w:rsidR="00DC0146" w:rsidRPr="00887B17">
        <w:rPr>
          <w:rFonts w:cs="Arial"/>
          <w:color w:val="000000" w:themeColor="text1"/>
        </w:rPr>
        <w:t xml:space="preserve">28; </w:t>
      </w:r>
      <w:r w:rsidR="001A2E44" w:rsidRPr="00887B17">
        <w:rPr>
          <w:rFonts w:cs="Arial"/>
          <w:i/>
          <w:iCs/>
          <w:color w:val="000000" w:themeColor="text1"/>
        </w:rPr>
        <w:t>Changing Tides,</w:t>
      </w:r>
      <w:r w:rsidR="001A2E44" w:rsidRPr="00887B17">
        <w:rPr>
          <w:rFonts w:cs="Arial"/>
          <w:color w:val="000000" w:themeColor="text1"/>
        </w:rPr>
        <w:t xml:space="preserve"> para 15.</w:t>
      </w:r>
    </w:p>
  </w:footnote>
  <w:footnote w:id="73">
    <w:p w14:paraId="401DA77F" w14:textId="365D143A" w:rsidR="001A2E44" w:rsidRPr="00887B17" w:rsidRDefault="001A2E44"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i/>
          <w:iCs/>
          <w:color w:val="000000" w:themeColor="text1"/>
        </w:rPr>
        <w:t>Changing Tides,</w:t>
      </w:r>
      <w:r w:rsidRPr="00887B17">
        <w:rPr>
          <w:rFonts w:cs="Arial"/>
          <w:color w:val="000000" w:themeColor="text1"/>
        </w:rPr>
        <w:t xml:space="preserve"> para 15.</w:t>
      </w:r>
    </w:p>
  </w:footnote>
  <w:footnote w:id="74">
    <w:p w14:paraId="4BCC31BC" w14:textId="275A51A6" w:rsidR="00EC5D7C" w:rsidRPr="00887B17" w:rsidRDefault="00EC5D7C"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00513EB3" w:rsidRPr="00887B17">
        <w:rPr>
          <w:rFonts w:cs="Arial"/>
          <w:i/>
          <w:iCs/>
        </w:rPr>
        <w:t>Residents of Joe Slovo Community, Western Cape v Thubelisha Homes and Others (Centre on Housing Rights and Evictions and Another, Amici Curiae)</w:t>
      </w:r>
      <w:r w:rsidR="00513EB3" w:rsidRPr="00887B17">
        <w:rPr>
          <w:rFonts w:cs="Arial"/>
        </w:rPr>
        <w:t> 2010 (3) SA 454 (CC), para 313.</w:t>
      </w:r>
    </w:p>
  </w:footnote>
  <w:footnote w:id="75">
    <w:p w14:paraId="7E6DE95F" w14:textId="4B879E5E" w:rsidR="00EF2A67" w:rsidRPr="00887B17" w:rsidRDefault="00EF2A6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006845B8" w:rsidRPr="00887B17">
        <w:rPr>
          <w:rFonts w:cs="Arial"/>
          <w:i/>
          <w:iCs/>
        </w:rPr>
        <w:t>Occupiers of 51 Olivia Road, Berea Township, and 197 Main Street, Johannesburg v City of Johannesburg and Others</w:t>
      </w:r>
      <w:r w:rsidR="006845B8" w:rsidRPr="00887B17">
        <w:rPr>
          <w:rFonts w:cs="Arial"/>
        </w:rPr>
        <w:t> 2008 (3) SA 208 (CC), para 18.</w:t>
      </w:r>
    </w:p>
  </w:footnote>
  <w:footnote w:id="76">
    <w:p w14:paraId="2D527E52" w14:textId="2F1C9CC4" w:rsidR="00D6390B" w:rsidRPr="00887B17" w:rsidRDefault="00D6390B"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i/>
          <w:iCs/>
          <w:color w:val="000000" w:themeColor="text1"/>
        </w:rPr>
        <w:t>Occupiers of Erven 87 and 88 Berea (supra),</w:t>
      </w:r>
      <w:r w:rsidRPr="00887B17">
        <w:rPr>
          <w:rFonts w:cs="Arial"/>
          <w:color w:val="000000" w:themeColor="text1"/>
        </w:rPr>
        <w:t xml:space="preserve"> para 5</w:t>
      </w:r>
      <w:r w:rsidR="006F635C" w:rsidRPr="00887B17">
        <w:rPr>
          <w:rFonts w:cs="Arial"/>
          <w:color w:val="000000" w:themeColor="text1"/>
        </w:rPr>
        <w:t>8.</w:t>
      </w:r>
    </w:p>
  </w:footnote>
  <w:footnote w:id="77">
    <w:p w14:paraId="62DF9C0A" w14:textId="6D578A50" w:rsidR="00593978" w:rsidRPr="00887B17" w:rsidRDefault="00593978"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006F635C" w:rsidRPr="00887B17">
        <w:rPr>
          <w:rFonts w:cs="Arial"/>
          <w:i/>
          <w:iCs/>
          <w:color w:val="000000" w:themeColor="text1"/>
        </w:rPr>
        <w:t>Id</w:t>
      </w:r>
      <w:r w:rsidR="006F635C" w:rsidRPr="00887B17">
        <w:rPr>
          <w:rFonts w:cs="Arial"/>
          <w:color w:val="000000" w:themeColor="text1"/>
        </w:rPr>
        <w:t>.</w:t>
      </w:r>
    </w:p>
  </w:footnote>
  <w:footnote w:id="78">
    <w:p w14:paraId="32764697" w14:textId="5FB7501A" w:rsidR="00A57DB1" w:rsidRPr="00887B17" w:rsidRDefault="00A57DB1" w:rsidP="00887B17">
      <w:pPr>
        <w:pStyle w:val="FootnoteText"/>
        <w:snapToGrid w:val="0"/>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color w:val="000000" w:themeColor="text1"/>
          <w:lang w:val="en-US"/>
        </w:rPr>
        <w:t>Ekurhuleni Metropolitan Municipality and Another v Various Occupiers, Eden Park Extension</w:t>
      </w:r>
      <w:r w:rsidR="00FC3BEE" w:rsidRPr="00887B17">
        <w:rPr>
          <w:rFonts w:cs="Arial"/>
          <w:i/>
          <w:color w:val="000000" w:themeColor="text1"/>
          <w:lang w:val="en-US"/>
        </w:rPr>
        <w:t> </w:t>
      </w:r>
      <w:r w:rsidRPr="00887B17">
        <w:rPr>
          <w:rFonts w:cs="Arial"/>
          <w:i/>
          <w:color w:val="000000" w:themeColor="text1"/>
          <w:lang w:val="en-US"/>
        </w:rPr>
        <w:t xml:space="preserve">5 </w:t>
      </w:r>
      <w:r w:rsidR="00FC3BEE" w:rsidRPr="00887B17">
        <w:rPr>
          <w:rFonts w:cs="Arial"/>
          <w:i/>
          <w:color w:val="000000" w:themeColor="text1"/>
          <w:lang w:val="en-US"/>
        </w:rPr>
        <w:t xml:space="preserve">    </w:t>
      </w:r>
      <w:r w:rsidRPr="00887B17">
        <w:rPr>
          <w:rFonts w:cs="Arial"/>
          <w:color w:val="000000" w:themeColor="text1"/>
          <w:lang w:val="en-US"/>
        </w:rPr>
        <w:t>2014 (3) SA 23 (SCA)</w:t>
      </w:r>
      <w:r w:rsidR="00FC3BEE" w:rsidRPr="00887B17">
        <w:rPr>
          <w:rFonts w:cs="Arial"/>
          <w:color w:val="000000" w:themeColor="text1"/>
          <w:lang w:val="en-US"/>
        </w:rPr>
        <w:t>,</w:t>
      </w:r>
      <w:r w:rsidRPr="00887B17">
        <w:rPr>
          <w:rFonts w:cs="Arial"/>
          <w:color w:val="000000" w:themeColor="text1"/>
          <w:lang w:val="en-US"/>
        </w:rPr>
        <w:t xml:space="preserve"> para 19.</w:t>
      </w:r>
    </w:p>
  </w:footnote>
  <w:footnote w:id="79">
    <w:p w14:paraId="25944823" w14:textId="2E0C64F3" w:rsidR="00AC7FB8" w:rsidRPr="00887B17" w:rsidRDefault="00AC7FB8" w:rsidP="00887B17">
      <w:pPr>
        <w:pStyle w:val="FootnoteText"/>
        <w:snapToGrid w:val="0"/>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color w:val="000000" w:themeColor="text1"/>
          <w:lang w:val="en-US"/>
        </w:rPr>
        <w:t>Id</w:t>
      </w:r>
      <w:r w:rsidRPr="00887B17">
        <w:rPr>
          <w:rFonts w:cs="Arial"/>
          <w:color w:val="000000" w:themeColor="text1"/>
          <w:lang w:val="en-US"/>
        </w:rPr>
        <w:t>.</w:t>
      </w:r>
    </w:p>
  </w:footnote>
  <w:footnote w:id="80">
    <w:p w14:paraId="6A5FB025" w14:textId="77777777" w:rsidR="00AC7FB8" w:rsidRPr="00887B17" w:rsidRDefault="00AC7FB8" w:rsidP="00887B17">
      <w:pPr>
        <w:pStyle w:val="FootnoteText"/>
        <w:snapToGrid w:val="0"/>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color w:val="000000" w:themeColor="text1"/>
          <w:lang w:val="en-US"/>
        </w:rPr>
        <w:t>Id</w:t>
      </w:r>
      <w:r w:rsidRPr="00887B17">
        <w:rPr>
          <w:rFonts w:cs="Arial"/>
          <w:color w:val="000000" w:themeColor="text1"/>
          <w:lang w:val="en-US"/>
        </w:rPr>
        <w:t>.</w:t>
      </w:r>
    </w:p>
  </w:footnote>
  <w:footnote w:id="81">
    <w:p w14:paraId="5C034B24" w14:textId="77777777" w:rsidR="00363274" w:rsidRPr="00887B17" w:rsidRDefault="00363274"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iCs/>
        </w:rPr>
        <w:t>City of Johannesburg Metropolitan Municipality v Blue Moonlight Properties 39 (Pty) Ltd and Another</w:t>
      </w:r>
      <w:r w:rsidRPr="00887B17">
        <w:rPr>
          <w:rFonts w:cs="Arial"/>
        </w:rPr>
        <w:t xml:space="preserve"> 2012 (2) SA 104 (CC), para 39.</w:t>
      </w:r>
    </w:p>
  </w:footnote>
  <w:footnote w:id="82">
    <w:p w14:paraId="56311EA5" w14:textId="723F39E5" w:rsidR="00D15534" w:rsidRPr="00887B17" w:rsidRDefault="00D15534" w:rsidP="00887B17">
      <w:pPr>
        <w:pStyle w:val="FootnoteText"/>
        <w:rPr>
          <w:rFonts w:cs="Arial"/>
        </w:rPr>
      </w:pPr>
      <w:r w:rsidRPr="00887B17">
        <w:rPr>
          <w:rStyle w:val="FootnoteReference"/>
          <w:rFonts w:eastAsiaTheme="majorEastAsia" w:cs="Arial"/>
        </w:rPr>
        <w:footnoteRef/>
      </w:r>
      <w:r w:rsidRPr="00887B17">
        <w:rPr>
          <w:rFonts w:cs="Arial"/>
        </w:rPr>
        <w:tab/>
      </w:r>
      <w:r w:rsidRPr="00887B17">
        <w:rPr>
          <w:rFonts w:cs="Arial"/>
          <w:i/>
          <w:iCs/>
        </w:rPr>
        <w:t xml:space="preserve">Chief </w:t>
      </w:r>
      <w:r w:rsidRPr="00887B17">
        <w:rPr>
          <w:rFonts w:cs="Arial"/>
          <w:i/>
        </w:rPr>
        <w:t xml:space="preserve">Lesapo v North West Agricultural Bank and Another </w:t>
      </w:r>
      <w:r w:rsidRPr="00887B17">
        <w:rPr>
          <w:rFonts w:cs="Arial"/>
        </w:rPr>
        <w:t>2000 (1) SA 409 (CC)</w:t>
      </w:r>
      <w:r w:rsidR="00495F2B" w:rsidRPr="00887B17">
        <w:rPr>
          <w:rFonts w:cs="Arial"/>
        </w:rPr>
        <w:t>,</w:t>
      </w:r>
      <w:r w:rsidRPr="00887B17">
        <w:rPr>
          <w:rFonts w:cs="Arial"/>
        </w:rPr>
        <w:t xml:space="preserve"> paras 11, 18 and 22.  See also </w:t>
      </w:r>
      <w:r w:rsidRPr="00887B17">
        <w:rPr>
          <w:rFonts w:cs="Arial"/>
          <w:i/>
        </w:rPr>
        <w:t xml:space="preserve">Zondi v MEC for Traditional and Local Government Affairs and Others </w:t>
      </w:r>
      <w:r w:rsidRPr="00887B17">
        <w:rPr>
          <w:rFonts w:cs="Arial"/>
        </w:rPr>
        <w:t>2005 (3) SA 589 (CC)</w:t>
      </w:r>
      <w:r w:rsidR="00495F2B" w:rsidRPr="00887B17">
        <w:rPr>
          <w:rFonts w:cs="Arial"/>
        </w:rPr>
        <w:t>,</w:t>
      </w:r>
      <w:r w:rsidRPr="00887B17">
        <w:rPr>
          <w:rFonts w:cs="Arial"/>
        </w:rPr>
        <w:t xml:space="preserve"> para 59. </w:t>
      </w:r>
    </w:p>
  </w:footnote>
  <w:footnote w:id="83">
    <w:p w14:paraId="551D9F43" w14:textId="1CABBF42" w:rsidR="008C28AB" w:rsidRPr="00887B17" w:rsidRDefault="008C28AB" w:rsidP="00887B17">
      <w:pPr>
        <w:pStyle w:val="FootnoteText"/>
        <w:rPr>
          <w:rFonts w:cs="Arial"/>
          <w:i/>
          <w:iCs/>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i/>
          <w:iCs/>
          <w:color w:val="000000" w:themeColor="text1"/>
          <w:lang w:val="en-US"/>
        </w:rPr>
        <w:t>Grootboom</w:t>
      </w:r>
      <w:r w:rsidR="00993145" w:rsidRPr="00887B17">
        <w:rPr>
          <w:rFonts w:cs="Arial"/>
          <w:i/>
          <w:iCs/>
          <w:color w:val="000000" w:themeColor="text1"/>
          <w:lang w:val="en-US"/>
        </w:rPr>
        <w:t xml:space="preserve"> (supra)</w:t>
      </w:r>
      <w:r w:rsidRPr="00887B17">
        <w:rPr>
          <w:rFonts w:cs="Arial"/>
          <w:i/>
          <w:iCs/>
          <w:color w:val="000000" w:themeColor="text1"/>
          <w:lang w:val="en-US"/>
        </w:rPr>
        <w:t xml:space="preserve"> </w:t>
      </w:r>
      <w:r w:rsidRPr="00887B17">
        <w:rPr>
          <w:rFonts w:cs="Arial"/>
          <w:color w:val="000000" w:themeColor="text1"/>
          <w:lang w:val="en-US"/>
        </w:rPr>
        <w:t>para 2</w:t>
      </w:r>
      <w:r w:rsidR="001E25FE" w:rsidRPr="00887B17">
        <w:rPr>
          <w:rFonts w:cs="Arial"/>
          <w:color w:val="000000" w:themeColor="text1"/>
          <w:lang w:val="en-US"/>
        </w:rPr>
        <w:t xml:space="preserve"> and para 92</w:t>
      </w:r>
      <w:r w:rsidRPr="00887B17">
        <w:rPr>
          <w:rFonts w:cs="Arial"/>
          <w:color w:val="000000" w:themeColor="text1"/>
          <w:lang w:val="en-US"/>
        </w:rPr>
        <w:t>.</w:t>
      </w:r>
      <w:r w:rsidR="001E25FE" w:rsidRPr="00887B17">
        <w:rPr>
          <w:rFonts w:cs="Arial"/>
          <w:color w:val="000000" w:themeColor="text1"/>
          <w:lang w:val="en-US"/>
        </w:rPr>
        <w:t xml:space="preserve">  See also </w:t>
      </w:r>
      <w:r w:rsidR="001E25FE" w:rsidRPr="00887B17">
        <w:rPr>
          <w:rFonts w:cs="Arial"/>
          <w:i/>
          <w:iCs/>
          <w:color w:val="000000" w:themeColor="text1"/>
          <w:lang w:val="en-US"/>
        </w:rPr>
        <w:t>Port Elizabeth Municipality,</w:t>
      </w:r>
      <w:r w:rsidR="001E25FE" w:rsidRPr="00887B17">
        <w:rPr>
          <w:rFonts w:cs="Arial"/>
          <w:color w:val="000000" w:themeColor="text1"/>
          <w:lang w:val="en-US"/>
        </w:rPr>
        <w:t xml:space="preserve"> para 26</w:t>
      </w:r>
      <w:r w:rsidR="00A86D2C" w:rsidRPr="00887B17">
        <w:rPr>
          <w:rFonts w:cs="Arial"/>
          <w:color w:val="000000" w:themeColor="text1"/>
          <w:lang w:val="en-US"/>
        </w:rPr>
        <w:t xml:space="preserve">; </w:t>
      </w:r>
      <w:r w:rsidR="00A86D2C" w:rsidRPr="00887B17">
        <w:rPr>
          <w:rFonts w:cs="Arial"/>
          <w:i/>
        </w:rPr>
        <w:t xml:space="preserve">President of the Republic of South Africa v Modderklip Boerdery (Pty) Ltd </w:t>
      </w:r>
      <w:r w:rsidR="00A86D2C" w:rsidRPr="00887B17">
        <w:rPr>
          <w:rFonts w:cs="Arial"/>
        </w:rPr>
        <w:t xml:space="preserve">2005 (3) SA 3 (CC), para 49; and </w:t>
      </w:r>
      <w:r w:rsidR="00A86D2C" w:rsidRPr="00887B17">
        <w:rPr>
          <w:rFonts w:cs="Arial"/>
          <w:i/>
        </w:rPr>
        <w:t xml:space="preserve">City of Cape Town v Unlawful Occupiers, Erf 1800 Capricorn </w:t>
      </w:r>
      <w:r w:rsidR="00A86D2C" w:rsidRPr="00887B17">
        <w:rPr>
          <w:rFonts w:cs="Arial"/>
        </w:rPr>
        <w:t>2003 (6) SA 140 (C) at 151I.</w:t>
      </w:r>
    </w:p>
  </w:footnote>
  <w:footnote w:id="84">
    <w:p w14:paraId="10147CEB" w14:textId="2ADF2CC9" w:rsidR="00A86D2C" w:rsidRPr="00887B17" w:rsidRDefault="00A86D2C" w:rsidP="00887B17">
      <w:pPr>
        <w:pStyle w:val="FootnoteText"/>
        <w:rPr>
          <w:rFonts w:cs="Arial"/>
          <w:lang w:val="en-US"/>
        </w:rPr>
      </w:pPr>
      <w:r w:rsidRPr="00887B17">
        <w:rPr>
          <w:rStyle w:val="FootnoteReference"/>
          <w:rFonts w:cs="Arial"/>
        </w:rPr>
        <w:footnoteRef/>
      </w:r>
      <w:r w:rsidRPr="00887B17">
        <w:rPr>
          <w:rFonts w:cs="Arial"/>
        </w:rPr>
        <w:t xml:space="preserve"> </w:t>
      </w:r>
      <w:r w:rsidR="00FD5E50" w:rsidRPr="00887B17">
        <w:rPr>
          <w:rFonts w:cs="Arial"/>
          <w:lang w:val="en-US"/>
        </w:rPr>
        <w:tab/>
      </w:r>
      <w:r w:rsidR="00FD5E50" w:rsidRPr="00887B17">
        <w:rPr>
          <w:rFonts w:cs="Arial"/>
          <w:i/>
        </w:rPr>
        <w:t xml:space="preserve">Gundwana v Steko Development and Others </w:t>
      </w:r>
      <w:r w:rsidR="00FD5E50" w:rsidRPr="00887B17">
        <w:rPr>
          <w:rFonts w:cs="Arial"/>
        </w:rPr>
        <w:t>2011 (3) SA 608 (CC), para 45.</w:t>
      </w:r>
    </w:p>
  </w:footnote>
  <w:footnote w:id="85">
    <w:p w14:paraId="7F1D1088" w14:textId="63B4BCA9" w:rsidR="003A0C5C" w:rsidRPr="00887B17" w:rsidRDefault="003A0C5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5336FD" w:rsidRPr="00887B17">
        <w:rPr>
          <w:rFonts w:cs="Arial"/>
          <w:color w:val="000000" w:themeColor="text1"/>
        </w:rPr>
        <w:tab/>
      </w:r>
      <w:r w:rsidR="005336FD" w:rsidRPr="00887B17">
        <w:rPr>
          <w:rFonts w:cs="Arial"/>
          <w:i/>
          <w:iCs/>
        </w:rPr>
        <w:t>Khoza and Others v Vosloo and Others</w:t>
      </w:r>
      <w:r w:rsidR="005336FD" w:rsidRPr="00887B17">
        <w:rPr>
          <w:rFonts w:cs="Arial"/>
          <w:color w:val="000000" w:themeColor="text1"/>
          <w:lang w:val="en-US"/>
        </w:rPr>
        <w:t xml:space="preserve"> </w:t>
      </w:r>
      <w:r w:rsidRPr="00887B17">
        <w:rPr>
          <w:rFonts w:cs="Arial"/>
          <w:color w:val="000000" w:themeColor="text1"/>
          <w:lang w:val="en-US"/>
        </w:rPr>
        <w:t>[2025] ZAGPJHC 468 (8 May 2025)</w:t>
      </w:r>
      <w:r w:rsidR="005336FD" w:rsidRPr="00887B17">
        <w:rPr>
          <w:rFonts w:cs="Arial"/>
          <w:color w:val="000000" w:themeColor="text1"/>
          <w:lang w:val="en-US"/>
        </w:rPr>
        <w:t>.</w:t>
      </w:r>
    </w:p>
  </w:footnote>
  <w:footnote w:id="86">
    <w:p w14:paraId="7E8F3464" w14:textId="77777777" w:rsidR="00F23FEE" w:rsidRPr="00887B17" w:rsidRDefault="00F23FEE"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i/>
          <w:iCs/>
          <w:color w:val="000000" w:themeColor="text1"/>
        </w:rPr>
        <w:t xml:space="preserve"> </w:t>
      </w:r>
      <w:r w:rsidRPr="00887B17">
        <w:rPr>
          <w:rFonts w:cs="Arial"/>
          <w:i/>
          <w:iCs/>
          <w:color w:val="000000" w:themeColor="text1"/>
        </w:rPr>
        <w:tab/>
      </w:r>
      <w:r w:rsidRPr="00887B17">
        <w:rPr>
          <w:rFonts w:cs="Arial"/>
          <w:i/>
          <w:iCs/>
          <w:color w:val="000000" w:themeColor="text1"/>
        </w:rPr>
        <w:t xml:space="preserve">Port Elizabeth Municipality </w:t>
      </w:r>
      <w:r w:rsidRPr="00887B17">
        <w:rPr>
          <w:rFonts w:cs="Arial"/>
          <w:color w:val="000000" w:themeColor="text1"/>
        </w:rPr>
        <w:t>para 37.</w:t>
      </w:r>
    </w:p>
  </w:footnote>
  <w:footnote w:id="87">
    <w:p w14:paraId="08E98877" w14:textId="2AACB561" w:rsidR="00774250" w:rsidRPr="00887B17" w:rsidRDefault="00774250"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i/>
          <w:iCs/>
          <w:color w:val="000000" w:themeColor="text1"/>
        </w:rPr>
        <w:t>Olivia Road,</w:t>
      </w:r>
      <w:r w:rsidRPr="00887B17">
        <w:rPr>
          <w:rFonts w:cs="Arial"/>
          <w:color w:val="000000" w:themeColor="text1"/>
        </w:rPr>
        <w:t xml:space="preserve"> para </w:t>
      </w:r>
      <w:r w:rsidR="003408EC" w:rsidRPr="00887B17">
        <w:rPr>
          <w:rFonts w:cs="Arial"/>
          <w:color w:val="000000" w:themeColor="text1"/>
        </w:rPr>
        <w:t>9 – para 22</w:t>
      </w:r>
      <w:r w:rsidRPr="00887B17">
        <w:rPr>
          <w:rFonts w:cs="Arial"/>
          <w:color w:val="000000" w:themeColor="text1"/>
        </w:rPr>
        <w:t>.</w:t>
      </w:r>
      <w:r w:rsidR="00487F77" w:rsidRPr="00887B17">
        <w:rPr>
          <w:rFonts w:cs="Arial"/>
          <w:color w:val="000000" w:themeColor="text1"/>
        </w:rPr>
        <w:t xml:space="preserve">  </w:t>
      </w:r>
      <w:r w:rsidR="003408EC" w:rsidRPr="00887B17">
        <w:rPr>
          <w:rFonts w:cs="Arial"/>
          <w:color w:val="000000" w:themeColor="text1"/>
        </w:rPr>
        <w:t xml:space="preserve">See also </w:t>
      </w:r>
      <w:r w:rsidR="00882C0B" w:rsidRPr="00887B17">
        <w:rPr>
          <w:rFonts w:cs="Arial"/>
          <w:i/>
          <w:iCs/>
        </w:rPr>
        <w:t>Commando and Others v City of Cape Town and Another</w:t>
      </w:r>
      <w:r w:rsidR="00882C0B" w:rsidRPr="00887B17">
        <w:rPr>
          <w:rFonts w:cs="Arial"/>
        </w:rPr>
        <w:t xml:space="preserve"> 2025 (3) SA 1 (CC), para </w:t>
      </w:r>
      <w:r w:rsidR="00A212BD" w:rsidRPr="00887B17">
        <w:rPr>
          <w:rFonts w:cs="Arial"/>
        </w:rPr>
        <w:t>128.</w:t>
      </w:r>
    </w:p>
  </w:footnote>
  <w:footnote w:id="88">
    <w:p w14:paraId="2E23E589" w14:textId="1B5ACFE3" w:rsidR="000A7A21" w:rsidRPr="00887B17" w:rsidRDefault="000A7A21" w:rsidP="00887B17">
      <w:pPr>
        <w:pStyle w:val="FootnoteText"/>
        <w:rPr>
          <w:rFonts w:cs="Arial"/>
          <w:color w:val="000000" w:themeColor="text1"/>
        </w:rPr>
      </w:pPr>
      <w:r w:rsidRPr="00887B17">
        <w:rPr>
          <w:rStyle w:val="FootnoteReference"/>
          <w:rFonts w:cs="Arial"/>
          <w:color w:val="000000" w:themeColor="text1"/>
        </w:rPr>
        <w:footnoteRef/>
      </w:r>
      <w:r w:rsidRPr="00887B17">
        <w:rPr>
          <w:rFonts w:cs="Arial"/>
          <w:color w:val="000000" w:themeColor="text1"/>
        </w:rPr>
        <w:t xml:space="preserve"> </w:t>
      </w:r>
      <w:r w:rsidR="00A212BD" w:rsidRPr="00887B17">
        <w:rPr>
          <w:rFonts w:cs="Arial"/>
          <w:color w:val="000000" w:themeColor="text1"/>
        </w:rPr>
        <w:tab/>
      </w:r>
      <w:r w:rsidRPr="00887B17">
        <w:rPr>
          <w:rFonts w:cs="Arial"/>
          <w:i/>
          <w:iCs/>
          <w:color w:val="000000" w:themeColor="text1"/>
        </w:rPr>
        <w:t>Olivia Road</w:t>
      </w:r>
      <w:r w:rsidR="009B0619" w:rsidRPr="00887B17">
        <w:rPr>
          <w:rFonts w:cs="Arial"/>
          <w:i/>
          <w:iCs/>
          <w:color w:val="000000" w:themeColor="text1"/>
        </w:rPr>
        <w:t>,</w:t>
      </w:r>
      <w:r w:rsidRPr="00887B17">
        <w:rPr>
          <w:rFonts w:cs="Arial"/>
          <w:i/>
          <w:iCs/>
          <w:color w:val="000000" w:themeColor="text1"/>
        </w:rPr>
        <w:t xml:space="preserve"> </w:t>
      </w:r>
      <w:r w:rsidR="00A212BD" w:rsidRPr="00887B17">
        <w:rPr>
          <w:rFonts w:cs="Arial"/>
          <w:color w:val="000000" w:themeColor="text1"/>
          <w:lang w:val="en-US"/>
        </w:rPr>
        <w:t xml:space="preserve">para </w:t>
      </w:r>
      <w:r w:rsidRPr="00887B17">
        <w:rPr>
          <w:rFonts w:cs="Arial"/>
          <w:color w:val="000000" w:themeColor="text1"/>
          <w:lang w:val="en-US"/>
        </w:rPr>
        <w:t>14</w:t>
      </w:r>
      <w:r w:rsidR="00A212BD" w:rsidRPr="00887B17">
        <w:rPr>
          <w:rFonts w:cs="Arial"/>
          <w:color w:val="000000" w:themeColor="text1"/>
          <w:lang w:val="en-US"/>
        </w:rPr>
        <w:t>.</w:t>
      </w:r>
    </w:p>
  </w:footnote>
  <w:footnote w:id="89">
    <w:p w14:paraId="3229741D" w14:textId="108052FB" w:rsidR="000A7A21" w:rsidRPr="00887B17" w:rsidRDefault="000A7A21" w:rsidP="00887B17">
      <w:pPr>
        <w:pStyle w:val="FootnoteText"/>
        <w:rPr>
          <w:rFonts w:cs="Arial"/>
          <w:color w:val="000000" w:themeColor="text1"/>
        </w:rPr>
      </w:pPr>
      <w:r w:rsidRPr="00887B17">
        <w:rPr>
          <w:rStyle w:val="FootnoteReference"/>
          <w:rFonts w:cs="Arial"/>
          <w:color w:val="000000" w:themeColor="text1"/>
        </w:rPr>
        <w:footnoteRef/>
      </w:r>
      <w:r w:rsidRPr="00887B17">
        <w:rPr>
          <w:rFonts w:cs="Arial"/>
          <w:color w:val="000000" w:themeColor="text1"/>
        </w:rPr>
        <w:t xml:space="preserve"> </w:t>
      </w:r>
      <w:r w:rsidR="00F57087" w:rsidRPr="00887B17">
        <w:rPr>
          <w:rFonts w:cs="Arial"/>
          <w:color w:val="000000" w:themeColor="text1"/>
        </w:rPr>
        <w:tab/>
      </w:r>
      <w:r w:rsidRPr="00887B17">
        <w:rPr>
          <w:rFonts w:cs="Arial"/>
          <w:i/>
          <w:iCs/>
          <w:color w:val="000000" w:themeColor="text1"/>
        </w:rPr>
        <w:t>Olivia Road,</w:t>
      </w:r>
      <w:r w:rsidR="00F57087" w:rsidRPr="00887B17">
        <w:rPr>
          <w:rFonts w:cs="Arial"/>
          <w:i/>
          <w:iCs/>
          <w:color w:val="000000" w:themeColor="text1"/>
        </w:rPr>
        <w:t xml:space="preserve"> </w:t>
      </w:r>
      <w:r w:rsidR="00F57087" w:rsidRPr="00887B17">
        <w:rPr>
          <w:rFonts w:cs="Arial"/>
          <w:color w:val="000000" w:themeColor="text1"/>
        </w:rPr>
        <w:t>para</w:t>
      </w:r>
      <w:r w:rsidRPr="00887B17">
        <w:rPr>
          <w:rFonts w:cs="Arial"/>
          <w:color w:val="000000" w:themeColor="text1"/>
          <w:lang w:val="en-US"/>
        </w:rPr>
        <w:t>14.</w:t>
      </w:r>
    </w:p>
  </w:footnote>
  <w:footnote w:id="90">
    <w:p w14:paraId="7B5850FA" w14:textId="7CC0A487" w:rsidR="000A7A21" w:rsidRPr="00887B17" w:rsidRDefault="000A7A21"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F57087" w:rsidRPr="00887B17">
        <w:rPr>
          <w:rFonts w:cs="Arial"/>
          <w:color w:val="000000" w:themeColor="text1"/>
        </w:rPr>
        <w:tab/>
      </w:r>
      <w:r w:rsidRPr="00887B17">
        <w:rPr>
          <w:rFonts w:cs="Arial"/>
          <w:i/>
          <w:iCs/>
          <w:color w:val="000000" w:themeColor="text1"/>
          <w:lang w:val="en-US"/>
        </w:rPr>
        <w:t xml:space="preserve">Joe Slovo </w:t>
      </w:r>
      <w:r w:rsidR="00F57087" w:rsidRPr="00887B17">
        <w:rPr>
          <w:rFonts w:cs="Arial"/>
          <w:color w:val="000000" w:themeColor="text1"/>
          <w:lang w:val="en-US"/>
        </w:rPr>
        <w:t xml:space="preserve">para </w:t>
      </w:r>
      <w:r w:rsidRPr="00887B17">
        <w:rPr>
          <w:rFonts w:cs="Arial"/>
          <w:color w:val="000000" w:themeColor="text1"/>
          <w:lang w:val="en-US"/>
        </w:rPr>
        <w:t>243.</w:t>
      </w:r>
    </w:p>
  </w:footnote>
  <w:footnote w:id="91">
    <w:p w14:paraId="06277BDD" w14:textId="6B850A5F" w:rsidR="000A7A21" w:rsidRPr="00887B17" w:rsidRDefault="000A7A21"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F57087" w:rsidRPr="00887B17">
        <w:rPr>
          <w:rFonts w:cs="Arial"/>
          <w:color w:val="000000" w:themeColor="text1"/>
        </w:rPr>
        <w:tab/>
      </w:r>
      <w:r w:rsidR="00F57087" w:rsidRPr="00887B17">
        <w:rPr>
          <w:rFonts w:cs="Arial"/>
          <w:i/>
          <w:iCs/>
          <w:color w:val="000000" w:themeColor="text1"/>
        </w:rPr>
        <w:t>Id</w:t>
      </w:r>
      <w:r w:rsidRPr="00887B17">
        <w:rPr>
          <w:rFonts w:cs="Arial"/>
          <w:color w:val="000000" w:themeColor="text1"/>
        </w:rPr>
        <w:t>.</w:t>
      </w:r>
    </w:p>
  </w:footnote>
  <w:footnote w:id="92">
    <w:p w14:paraId="33C77646" w14:textId="4166834F" w:rsidR="000A7A21" w:rsidRPr="00887B17" w:rsidRDefault="000A7A21" w:rsidP="00887B17">
      <w:pPr>
        <w:pStyle w:val="FootnoteText"/>
        <w:rPr>
          <w:rFonts w:cs="Arial"/>
          <w:color w:val="000000" w:themeColor="text1"/>
        </w:rPr>
      </w:pPr>
      <w:r w:rsidRPr="00887B17">
        <w:rPr>
          <w:rStyle w:val="FootnoteReference"/>
          <w:rFonts w:cs="Arial"/>
          <w:color w:val="000000" w:themeColor="text1"/>
        </w:rPr>
        <w:footnoteRef/>
      </w:r>
      <w:r w:rsidRPr="00887B17">
        <w:rPr>
          <w:rFonts w:cs="Arial"/>
          <w:color w:val="000000" w:themeColor="text1"/>
        </w:rPr>
        <w:t xml:space="preserve"> </w:t>
      </w:r>
      <w:r w:rsidR="00BA511A" w:rsidRPr="00887B17">
        <w:rPr>
          <w:rFonts w:cs="Arial"/>
          <w:color w:val="000000" w:themeColor="text1"/>
        </w:rPr>
        <w:tab/>
      </w:r>
      <w:r w:rsidRPr="00887B17">
        <w:rPr>
          <w:rFonts w:cs="Arial"/>
          <w:i/>
          <w:iCs/>
          <w:color w:val="000000" w:themeColor="text1"/>
        </w:rPr>
        <w:t>Daniels v Scribante</w:t>
      </w:r>
      <w:r w:rsidRPr="00887B17">
        <w:rPr>
          <w:rFonts w:cs="Arial"/>
          <w:color w:val="000000" w:themeColor="text1"/>
        </w:rPr>
        <w:t> 2017 (4) SA 341 (CC)</w:t>
      </w:r>
      <w:r w:rsidR="00BA511A" w:rsidRPr="00887B17">
        <w:rPr>
          <w:rFonts w:cs="Arial"/>
          <w:color w:val="000000" w:themeColor="text1"/>
        </w:rPr>
        <w:t xml:space="preserve">, para </w:t>
      </w:r>
      <w:r w:rsidRPr="00887B17">
        <w:rPr>
          <w:rFonts w:cs="Arial"/>
          <w:color w:val="000000" w:themeColor="text1"/>
        </w:rPr>
        <w:t>65.</w:t>
      </w:r>
    </w:p>
  </w:footnote>
  <w:footnote w:id="93">
    <w:p w14:paraId="683FF0E4" w14:textId="57FB3F51" w:rsidR="00FD7D0D" w:rsidRPr="00887B17" w:rsidRDefault="00FD7D0D" w:rsidP="00887B17">
      <w:pPr>
        <w:pStyle w:val="FootnoteText"/>
        <w:rPr>
          <w:rFonts w:cs="Arial"/>
          <w:lang w:val="en-US"/>
        </w:rPr>
      </w:pPr>
      <w:r w:rsidRPr="00887B17">
        <w:rPr>
          <w:rStyle w:val="FootnoteReference"/>
          <w:rFonts w:cs="Arial"/>
        </w:rPr>
        <w:footnoteRef/>
      </w:r>
      <w:r w:rsidRPr="00887B17">
        <w:rPr>
          <w:rFonts w:cs="Arial"/>
        </w:rPr>
        <w:t xml:space="preserve"> </w:t>
      </w:r>
      <w:r w:rsidR="00601667" w:rsidRPr="00887B17">
        <w:rPr>
          <w:rFonts w:cs="Arial"/>
        </w:rPr>
        <w:tab/>
      </w:r>
      <w:r w:rsidR="009A2BC5" w:rsidRPr="00887B17">
        <w:rPr>
          <w:rFonts w:cs="Arial"/>
        </w:rPr>
        <w:t>8 </w:t>
      </w:r>
      <w:r w:rsidR="00601667" w:rsidRPr="00887B17">
        <w:rPr>
          <w:rFonts w:cs="Arial"/>
        </w:rPr>
        <w:t>August</w:t>
      </w:r>
      <w:r w:rsidR="009A2BC5" w:rsidRPr="00887B17">
        <w:rPr>
          <w:rFonts w:cs="Arial"/>
        </w:rPr>
        <w:t xml:space="preserve"> 2025 Order, </w:t>
      </w:r>
      <w:r w:rsidR="00C942C3" w:rsidRPr="00887B17">
        <w:rPr>
          <w:rFonts w:cs="Arial"/>
        </w:rPr>
        <w:t>para 2.1, rec. 542.</w:t>
      </w:r>
    </w:p>
  </w:footnote>
  <w:footnote w:id="94">
    <w:p w14:paraId="5A711B3C" w14:textId="0AE7B42C" w:rsidR="0095773B" w:rsidRPr="00887B17" w:rsidRDefault="0095773B"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City AA para </w:t>
      </w:r>
      <w:r w:rsidR="0039535C" w:rsidRPr="00887B17">
        <w:rPr>
          <w:rFonts w:cs="Arial"/>
          <w:lang w:val="en-US"/>
        </w:rPr>
        <w:t>11, rec. 473.</w:t>
      </w:r>
    </w:p>
  </w:footnote>
  <w:footnote w:id="95">
    <w:p w14:paraId="13878D6E" w14:textId="387A747A" w:rsidR="00466617" w:rsidRPr="00887B17" w:rsidRDefault="0046661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City AA para </w:t>
      </w:r>
      <w:r w:rsidR="00800EE4" w:rsidRPr="00887B17">
        <w:rPr>
          <w:rFonts w:cs="Arial"/>
          <w:lang w:val="en-US"/>
        </w:rPr>
        <w:t>15, rec. 474-475.</w:t>
      </w:r>
    </w:p>
  </w:footnote>
  <w:footnote w:id="96">
    <w:p w14:paraId="4887E87E" w14:textId="3847E348" w:rsidR="00220EBF" w:rsidRPr="00887B17" w:rsidRDefault="00220EBF"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AA</w:t>
      </w:r>
      <w:r w:rsidR="0000090B" w:rsidRPr="00887B17">
        <w:rPr>
          <w:rFonts w:cs="Arial"/>
          <w:lang w:val="en-US"/>
        </w:rPr>
        <w:t xml:space="preserve"> para </w:t>
      </w:r>
      <w:r w:rsidR="00814AFD" w:rsidRPr="00887B17">
        <w:rPr>
          <w:rFonts w:cs="Arial"/>
          <w:lang w:val="en-US"/>
        </w:rPr>
        <w:t>17, rec. 475;</w:t>
      </w:r>
      <w:r w:rsidRPr="00887B17">
        <w:rPr>
          <w:rFonts w:cs="Arial"/>
          <w:lang w:val="en-US"/>
        </w:rPr>
        <w:t xml:space="preserve"> Annexure GHL1, </w:t>
      </w:r>
      <w:r w:rsidR="0000090B" w:rsidRPr="00887B17">
        <w:rPr>
          <w:rFonts w:cs="Arial"/>
          <w:lang w:val="en-US"/>
        </w:rPr>
        <w:t xml:space="preserve">para 3.1, </w:t>
      </w:r>
      <w:r w:rsidRPr="00887B17">
        <w:rPr>
          <w:rFonts w:cs="Arial"/>
          <w:lang w:val="en-US"/>
        </w:rPr>
        <w:t xml:space="preserve">rec. </w:t>
      </w:r>
      <w:r w:rsidR="0000090B" w:rsidRPr="00887B17">
        <w:rPr>
          <w:rFonts w:cs="Arial"/>
          <w:lang w:val="en-US"/>
        </w:rPr>
        <w:t>525.</w:t>
      </w:r>
    </w:p>
  </w:footnote>
  <w:footnote w:id="97">
    <w:p w14:paraId="5A1C6534" w14:textId="57BE2D3A" w:rsidR="003F1EF4" w:rsidRPr="00887B17" w:rsidRDefault="003F1EF4" w:rsidP="00887B17">
      <w:pPr>
        <w:pStyle w:val="FootnoteText"/>
        <w:rPr>
          <w:rFonts w:cs="Arial"/>
          <w:lang w:val="en-US"/>
        </w:rPr>
      </w:pPr>
      <w:r w:rsidRPr="00887B17">
        <w:rPr>
          <w:rStyle w:val="FootnoteReference"/>
          <w:rFonts w:cs="Arial"/>
        </w:rPr>
        <w:footnoteRef/>
      </w:r>
      <w:r w:rsidRPr="00887B17">
        <w:rPr>
          <w:rFonts w:cs="Arial"/>
        </w:rPr>
        <w:t xml:space="preserve"> </w:t>
      </w:r>
      <w:r w:rsidR="00F01FAF" w:rsidRPr="00887B17">
        <w:rPr>
          <w:rFonts w:cs="Arial"/>
          <w:lang w:val="en-US"/>
        </w:rPr>
        <w:tab/>
        <w:t>City AA para 18</w:t>
      </w:r>
      <w:r w:rsidR="0049116B" w:rsidRPr="00887B17">
        <w:rPr>
          <w:rFonts w:cs="Arial"/>
          <w:lang w:val="en-US"/>
        </w:rPr>
        <w:t xml:space="preserve"> – 19.2</w:t>
      </w:r>
      <w:r w:rsidR="00F01FAF" w:rsidRPr="00887B17">
        <w:rPr>
          <w:rFonts w:cs="Arial"/>
          <w:lang w:val="en-US"/>
        </w:rPr>
        <w:t>, rec. 475</w:t>
      </w:r>
      <w:r w:rsidR="0049116B" w:rsidRPr="00887B17">
        <w:rPr>
          <w:rFonts w:cs="Arial"/>
          <w:lang w:val="en-US"/>
        </w:rPr>
        <w:t xml:space="preserve"> - 476</w:t>
      </w:r>
      <w:r w:rsidR="00F01FAF" w:rsidRPr="00887B17">
        <w:rPr>
          <w:rFonts w:cs="Arial"/>
          <w:lang w:val="en-US"/>
        </w:rPr>
        <w:t xml:space="preserve">; Annexure GLH2, </w:t>
      </w:r>
      <w:r w:rsidR="001906CF" w:rsidRPr="00887B17">
        <w:rPr>
          <w:rFonts w:cs="Arial"/>
          <w:lang w:val="en-US"/>
        </w:rPr>
        <w:t xml:space="preserve">para 2 – 3, </w:t>
      </w:r>
      <w:r w:rsidR="00F01FAF" w:rsidRPr="00887B17">
        <w:rPr>
          <w:rFonts w:cs="Arial"/>
          <w:lang w:val="en-US"/>
        </w:rPr>
        <w:t xml:space="preserve">rec. </w:t>
      </w:r>
      <w:r w:rsidR="001906CF" w:rsidRPr="00887B17">
        <w:rPr>
          <w:rFonts w:cs="Arial"/>
          <w:lang w:val="en-US"/>
        </w:rPr>
        <w:t>527</w:t>
      </w:r>
      <w:r w:rsidR="0049116B" w:rsidRPr="00887B17">
        <w:rPr>
          <w:rFonts w:cs="Arial"/>
          <w:lang w:val="en-US"/>
        </w:rPr>
        <w:t xml:space="preserve">; Annexure GLH3, </w:t>
      </w:r>
      <w:r w:rsidR="00E02B65" w:rsidRPr="00887B17">
        <w:rPr>
          <w:rFonts w:cs="Arial"/>
          <w:lang w:val="en-US"/>
        </w:rPr>
        <w:t>rec. 529.</w:t>
      </w:r>
    </w:p>
  </w:footnote>
  <w:footnote w:id="98">
    <w:p w14:paraId="44D4F0F8" w14:textId="004AC021" w:rsidR="00183A7D" w:rsidRPr="00887B17" w:rsidRDefault="00183A7D"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City AA para </w:t>
      </w:r>
      <w:r w:rsidR="00312A91" w:rsidRPr="00887B17">
        <w:rPr>
          <w:rFonts w:cs="Arial"/>
          <w:lang w:val="en-US"/>
        </w:rPr>
        <w:t>20, rec. 477.</w:t>
      </w:r>
    </w:p>
  </w:footnote>
  <w:footnote w:id="99">
    <w:p w14:paraId="56AF4C3A" w14:textId="2E19501F" w:rsidR="006217F7" w:rsidRPr="00887B17" w:rsidRDefault="006217F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City AA para </w:t>
      </w:r>
      <w:r w:rsidR="00CA71DE" w:rsidRPr="00887B17">
        <w:rPr>
          <w:rFonts w:cs="Arial"/>
          <w:lang w:val="en-US"/>
        </w:rPr>
        <w:t>21-22, rec. 477.</w:t>
      </w:r>
    </w:p>
  </w:footnote>
  <w:footnote w:id="100">
    <w:p w14:paraId="40D2F6AB" w14:textId="08C08182" w:rsidR="00492C86" w:rsidRPr="00887B17" w:rsidRDefault="00492C86"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City AA para </w:t>
      </w:r>
      <w:r w:rsidR="00A91463" w:rsidRPr="00887B17">
        <w:rPr>
          <w:rFonts w:cs="Arial"/>
          <w:lang w:val="en-US"/>
        </w:rPr>
        <w:t>23, rec. 477; Annexure GHL5, rec.</w:t>
      </w:r>
      <w:r w:rsidR="00954135" w:rsidRPr="00887B17">
        <w:rPr>
          <w:rFonts w:cs="Arial"/>
          <w:lang w:val="en-US"/>
        </w:rPr>
        <w:t xml:space="preserve"> xxx.</w:t>
      </w:r>
    </w:p>
  </w:footnote>
  <w:footnote w:id="101">
    <w:p w14:paraId="7E4F68D6" w14:textId="302EFA8C" w:rsidR="00342D61" w:rsidRPr="00887B17" w:rsidRDefault="00342D61"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City AA para xx </w:t>
      </w:r>
    </w:p>
  </w:footnote>
  <w:footnote w:id="102">
    <w:p w14:paraId="2FC02F68" w14:textId="41F8E9E3" w:rsidR="001F796A" w:rsidRPr="00887B17" w:rsidRDefault="001F796A" w:rsidP="00887B17">
      <w:pPr>
        <w:pStyle w:val="FootnoteText"/>
        <w:rPr>
          <w:rFonts w:cs="Arial"/>
          <w:lang w:val="en-US"/>
        </w:rPr>
      </w:pPr>
      <w:r w:rsidRPr="00887B17">
        <w:rPr>
          <w:rStyle w:val="FootnoteReference"/>
          <w:rFonts w:cs="Arial"/>
        </w:rPr>
        <w:footnoteRef/>
      </w:r>
      <w:r w:rsidRPr="00887B17">
        <w:rPr>
          <w:rFonts w:cs="Arial"/>
        </w:rPr>
        <w:t xml:space="preserve"> </w:t>
      </w:r>
      <w:r w:rsidR="00E770E6" w:rsidRPr="00887B17">
        <w:rPr>
          <w:rFonts w:cs="Arial"/>
          <w:lang w:val="en-US"/>
        </w:rPr>
        <w:tab/>
        <w:t>City AA para xx.</w:t>
      </w:r>
    </w:p>
  </w:footnote>
  <w:footnote w:id="103">
    <w:p w14:paraId="01E1DD8B" w14:textId="498645EA" w:rsidR="0030735F" w:rsidRPr="00887B17" w:rsidRDefault="0030735F" w:rsidP="00887B17">
      <w:pPr>
        <w:pStyle w:val="FootnoteText"/>
        <w:snapToGrid w:val="0"/>
        <w:rPr>
          <w:rFonts w:cs="Arial"/>
          <w:i/>
          <w:iCs/>
          <w:color w:val="000000" w:themeColor="text1"/>
        </w:rPr>
      </w:pPr>
      <w:r w:rsidRPr="00887B17">
        <w:rPr>
          <w:rStyle w:val="FootnoteReference"/>
          <w:rFonts w:cs="Arial"/>
          <w:color w:val="000000" w:themeColor="text1"/>
        </w:rPr>
        <w:footnoteRef/>
      </w:r>
      <w:r w:rsidRPr="00887B17">
        <w:rPr>
          <w:rFonts w:cs="Arial"/>
          <w:color w:val="000000" w:themeColor="text1"/>
        </w:rPr>
        <w:t xml:space="preserve"> </w:t>
      </w:r>
      <w:r w:rsidR="00235A17" w:rsidRPr="00887B17">
        <w:rPr>
          <w:rFonts w:cs="Arial"/>
          <w:color w:val="000000" w:themeColor="text1"/>
        </w:rPr>
        <w:tab/>
      </w:r>
      <w:r w:rsidR="00235A17" w:rsidRPr="00887B17">
        <w:rPr>
          <w:rFonts w:cs="Arial"/>
          <w:i/>
          <w:iCs/>
          <w:color w:val="000000" w:themeColor="text1"/>
        </w:rPr>
        <w:t>Occupiers of Erven 87 and 88 Berea (supra),</w:t>
      </w:r>
      <w:r w:rsidRPr="00887B17">
        <w:rPr>
          <w:rFonts w:cs="Arial"/>
          <w:color w:val="000000" w:themeColor="text1"/>
        </w:rPr>
        <w:t xml:space="preserve"> para 47.</w:t>
      </w:r>
    </w:p>
  </w:footnote>
  <w:footnote w:id="104">
    <w:p w14:paraId="6CF4000F" w14:textId="77777777" w:rsidR="00972AAC" w:rsidRPr="00887B17" w:rsidRDefault="00972AAC" w:rsidP="00887B17">
      <w:pPr>
        <w:pStyle w:val="FootnoteText"/>
        <w:snapToGrid w:val="0"/>
        <w:rPr>
          <w:rFonts w:cs="Arial"/>
          <w:color w:val="000000" w:themeColor="text1"/>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iCs/>
          <w:color w:val="000000" w:themeColor="text1"/>
        </w:rPr>
        <w:t>Changing Tides (supra),</w:t>
      </w:r>
      <w:r w:rsidRPr="00887B17">
        <w:rPr>
          <w:rFonts w:cs="Arial"/>
          <w:color w:val="000000" w:themeColor="text1"/>
        </w:rPr>
        <w:t xml:space="preserve"> para 30 and para 34.</w:t>
      </w:r>
    </w:p>
  </w:footnote>
  <w:footnote w:id="105">
    <w:p w14:paraId="5CBAFD08" w14:textId="14FA7C82" w:rsidR="004B3AD8" w:rsidRPr="00887B17" w:rsidRDefault="004B3AD8" w:rsidP="00887B17">
      <w:pPr>
        <w:pStyle w:val="FootnoteText"/>
        <w:snapToGrid w:val="0"/>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C5090D" w:rsidRPr="00887B17">
        <w:rPr>
          <w:rFonts w:cs="Arial"/>
          <w:color w:val="000000" w:themeColor="text1"/>
        </w:rPr>
        <w:tab/>
      </w:r>
      <w:r w:rsidRPr="00887B17">
        <w:rPr>
          <w:rFonts w:cs="Arial"/>
          <w:i/>
          <w:color w:val="000000" w:themeColor="text1"/>
          <w:lang w:val="en-US"/>
        </w:rPr>
        <w:t>Changing Tides</w:t>
      </w:r>
      <w:r w:rsidR="00C5090D" w:rsidRPr="00887B17">
        <w:rPr>
          <w:rFonts w:cs="Arial"/>
          <w:i/>
          <w:color w:val="000000" w:themeColor="text1"/>
          <w:lang w:val="en-US"/>
        </w:rPr>
        <w:t xml:space="preserve"> (supra),</w:t>
      </w:r>
      <w:r w:rsidRPr="00887B17">
        <w:rPr>
          <w:rFonts w:cs="Arial"/>
          <w:color w:val="000000" w:themeColor="text1"/>
          <w:lang w:val="en-US"/>
        </w:rPr>
        <w:t xml:space="preserve"> para 31.</w:t>
      </w:r>
    </w:p>
  </w:footnote>
  <w:footnote w:id="106">
    <w:p w14:paraId="30968A83" w14:textId="688005DA" w:rsidR="00981618" w:rsidRPr="00887B17" w:rsidRDefault="00981618" w:rsidP="00887B17">
      <w:pPr>
        <w:pStyle w:val="FootnoteText"/>
        <w:snapToGrid w:val="0"/>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iCs/>
          <w:color w:val="000000" w:themeColor="text1"/>
        </w:rPr>
        <w:t>Ndlovu v Ngcobo; Bekker and Another v Jika</w:t>
      </w:r>
      <w:r w:rsidRPr="00887B17">
        <w:rPr>
          <w:rFonts w:cs="Arial"/>
          <w:color w:val="000000" w:themeColor="text1"/>
        </w:rPr>
        <w:t xml:space="preserve"> 2003 (1) SA 113 (SCA)</w:t>
      </w:r>
      <w:r w:rsidRPr="00887B17">
        <w:rPr>
          <w:rFonts w:cs="Arial"/>
          <w:color w:val="000000" w:themeColor="text1"/>
          <w:lang w:val="en-US"/>
        </w:rPr>
        <w:t>.</w:t>
      </w:r>
    </w:p>
  </w:footnote>
  <w:footnote w:id="107">
    <w:p w14:paraId="2AC45D82" w14:textId="3F34F1FF" w:rsidR="00DC2DA1" w:rsidRPr="00887B17" w:rsidRDefault="00DC2DA1"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008F3850" w:rsidRPr="00887B17">
        <w:rPr>
          <w:rFonts w:cs="Arial"/>
          <w:i/>
          <w:iCs/>
          <w:lang w:val="en-US"/>
        </w:rPr>
        <w:t>Id.</w:t>
      </w:r>
      <w:r w:rsidR="008F3850" w:rsidRPr="00887B17">
        <w:rPr>
          <w:rFonts w:cs="Arial"/>
          <w:lang w:val="en-US"/>
        </w:rPr>
        <w:t xml:space="preserve"> para 19.</w:t>
      </w:r>
    </w:p>
  </w:footnote>
  <w:footnote w:id="108">
    <w:p w14:paraId="12634DB0" w14:textId="5159FF05" w:rsidR="007D4738" w:rsidRPr="00887B17" w:rsidRDefault="007D4738"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i/>
          <w:iCs/>
          <w:lang w:val="en-US"/>
        </w:rPr>
        <w:t>Id.</w:t>
      </w:r>
    </w:p>
  </w:footnote>
  <w:footnote w:id="109">
    <w:p w14:paraId="2F9F859A" w14:textId="5F3D9BB9" w:rsidR="0084086D" w:rsidRPr="00887B17" w:rsidRDefault="0084086D" w:rsidP="00887B17">
      <w:pPr>
        <w:pStyle w:val="FootnoteText"/>
        <w:snapToGrid w:val="0"/>
        <w:rPr>
          <w:rFonts w:cs="Arial"/>
          <w:color w:val="000000" w:themeColor="text1"/>
          <w:lang w:val="en-US"/>
        </w:rPr>
      </w:pPr>
      <w:r w:rsidRPr="00887B17">
        <w:rPr>
          <w:rStyle w:val="FootnoteReference"/>
          <w:rFonts w:cs="Arial"/>
          <w:color w:val="000000" w:themeColor="text1"/>
        </w:rPr>
        <w:footnoteRef/>
      </w:r>
      <w:r w:rsidR="009377CC" w:rsidRPr="00887B17">
        <w:rPr>
          <w:rFonts w:cs="Arial"/>
          <w:color w:val="000000" w:themeColor="text1"/>
        </w:rPr>
        <w:t xml:space="preserve"> </w:t>
      </w:r>
      <w:r w:rsidR="009377CC" w:rsidRPr="00887B17">
        <w:rPr>
          <w:rFonts w:cs="Arial"/>
          <w:color w:val="000000" w:themeColor="text1"/>
        </w:rPr>
        <w:tab/>
      </w:r>
      <w:r w:rsidR="00A52B83" w:rsidRPr="00887B17">
        <w:rPr>
          <w:rFonts w:cs="Arial"/>
          <w:i/>
          <w:iCs/>
          <w:color w:val="000000" w:themeColor="text1"/>
        </w:rPr>
        <w:t>Id.</w:t>
      </w:r>
    </w:p>
  </w:footnote>
  <w:footnote w:id="110">
    <w:p w14:paraId="16A77E30" w14:textId="120D950F" w:rsidR="002521DC" w:rsidRPr="00887B17" w:rsidRDefault="002521DC" w:rsidP="00887B17">
      <w:pPr>
        <w:widowControl w:val="0"/>
        <w:autoSpaceDE w:val="0"/>
        <w:autoSpaceDN w:val="0"/>
        <w:adjustRightInd w:val="0"/>
        <w:snapToGrid w:val="0"/>
        <w:ind w:left="284" w:hanging="284"/>
        <w:jc w:val="both"/>
        <w:rPr>
          <w:rFonts w:cs="Arial"/>
          <w:color w:val="000000" w:themeColor="text1"/>
          <w:sz w:val="20"/>
          <w:szCs w:val="20"/>
          <w:lang w:val="en-US"/>
        </w:rPr>
      </w:pPr>
      <w:r w:rsidRPr="00887B17">
        <w:rPr>
          <w:rStyle w:val="FootnoteReference"/>
          <w:rFonts w:cs="Arial"/>
          <w:color w:val="000000" w:themeColor="text1"/>
          <w:sz w:val="20"/>
          <w:szCs w:val="20"/>
        </w:rPr>
        <w:footnoteRef/>
      </w:r>
      <w:r w:rsidRPr="00887B17">
        <w:rPr>
          <w:rFonts w:cs="Arial"/>
          <w:color w:val="000000" w:themeColor="text1"/>
          <w:sz w:val="20"/>
          <w:szCs w:val="20"/>
        </w:rPr>
        <w:t xml:space="preserve"> </w:t>
      </w:r>
      <w:r w:rsidR="005B67E5" w:rsidRPr="00887B17">
        <w:rPr>
          <w:rFonts w:cs="Arial"/>
          <w:color w:val="000000" w:themeColor="text1"/>
          <w:sz w:val="20"/>
          <w:szCs w:val="20"/>
        </w:rPr>
        <w:tab/>
      </w:r>
      <w:r w:rsidRPr="00887B17">
        <w:rPr>
          <w:rFonts w:cs="Arial"/>
          <w:i/>
          <w:iCs/>
          <w:sz w:val="20"/>
          <w:szCs w:val="20"/>
          <w:lang w:val="en-US"/>
        </w:rPr>
        <w:t>Port Elizabeth Municipality v Peoples Dialogue on Land and Shelter and Others</w:t>
      </w:r>
      <w:r w:rsidRPr="00887B17">
        <w:rPr>
          <w:rFonts w:cs="Arial"/>
          <w:color w:val="000000" w:themeColor="text1"/>
          <w:sz w:val="20"/>
          <w:szCs w:val="20"/>
          <w:lang w:val="en-US"/>
        </w:rPr>
        <w:t xml:space="preserve"> 2001 (4) SA 759 (E) at 770.</w:t>
      </w:r>
    </w:p>
  </w:footnote>
  <w:footnote w:id="111">
    <w:p w14:paraId="09B81C10" w14:textId="2505E55C" w:rsidR="00CE27DC" w:rsidRPr="00887B17" w:rsidRDefault="00CE27DC"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i/>
          <w:iCs/>
          <w:color w:val="000000" w:themeColor="text1"/>
        </w:rPr>
        <w:t>Luanga v Perth Park Properties</w:t>
      </w:r>
      <w:r w:rsidR="00A84930">
        <w:rPr>
          <w:rFonts w:cs="Arial"/>
          <w:i/>
          <w:iCs/>
          <w:color w:val="000000" w:themeColor="text1"/>
        </w:rPr>
        <w:t xml:space="preserve"> Ltd</w:t>
      </w:r>
      <w:r w:rsidR="00511DAB" w:rsidRPr="00887B17">
        <w:rPr>
          <w:rFonts w:cs="Arial"/>
          <w:i/>
          <w:iCs/>
          <w:color w:val="000000" w:themeColor="text1"/>
        </w:rPr>
        <w:t xml:space="preserve"> (supra),</w:t>
      </w:r>
      <w:r w:rsidR="00511DAB" w:rsidRPr="00887B17">
        <w:rPr>
          <w:rFonts w:cs="Arial"/>
          <w:color w:val="000000" w:themeColor="text1"/>
        </w:rPr>
        <w:t xml:space="preserve"> para 48.</w:t>
      </w:r>
    </w:p>
  </w:footnote>
  <w:footnote w:id="112">
    <w:p w14:paraId="5983B449" w14:textId="03E8E864" w:rsidR="000A7A21" w:rsidRPr="00887B17" w:rsidRDefault="000A7A21"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57097C" w:rsidRPr="00887B17">
        <w:rPr>
          <w:rFonts w:cs="Arial"/>
          <w:i/>
          <w:iCs/>
          <w:color w:val="000000" w:themeColor="text1"/>
        </w:rPr>
        <w:t>Occupiers of Erven 87 and 88 Berea (supra),</w:t>
      </w:r>
      <w:r w:rsidRPr="00887B17">
        <w:rPr>
          <w:rFonts w:cs="Arial"/>
          <w:color w:val="000000" w:themeColor="text1"/>
          <w:lang w:val="en-US"/>
        </w:rPr>
        <w:t xml:space="preserve"> </w:t>
      </w:r>
      <w:r w:rsidR="002C08F6" w:rsidRPr="00887B17">
        <w:rPr>
          <w:rFonts w:cs="Arial"/>
          <w:color w:val="000000" w:themeColor="text1"/>
          <w:lang w:val="en-US"/>
        </w:rPr>
        <w:t xml:space="preserve">para </w:t>
      </w:r>
      <w:r w:rsidRPr="00887B17">
        <w:rPr>
          <w:rFonts w:cs="Arial"/>
          <w:color w:val="000000" w:themeColor="text1"/>
          <w:lang w:val="en-US"/>
        </w:rPr>
        <w:t>47</w:t>
      </w:r>
      <w:r w:rsidR="002C08F6" w:rsidRPr="00887B17">
        <w:rPr>
          <w:rFonts w:cs="Arial"/>
          <w:color w:val="000000" w:themeColor="text1"/>
          <w:lang w:val="en-US"/>
        </w:rPr>
        <w:t>.</w:t>
      </w:r>
    </w:p>
  </w:footnote>
  <w:footnote w:id="113">
    <w:p w14:paraId="41A6B03A" w14:textId="5DDAAA51" w:rsidR="00765FAA" w:rsidRPr="00887B17" w:rsidRDefault="00765FAA" w:rsidP="00887B17">
      <w:pPr>
        <w:pStyle w:val="FootnoteText"/>
        <w:snapToGrid w:val="0"/>
        <w:rPr>
          <w:rFonts w:cs="Arial"/>
          <w:color w:val="000000" w:themeColor="text1"/>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i/>
          <w:iCs/>
          <w:color w:val="000000" w:themeColor="text1"/>
        </w:rPr>
        <w:t>Luanga v Perth Park Properties (supra),</w:t>
      </w:r>
      <w:r w:rsidRPr="00887B17">
        <w:rPr>
          <w:rFonts w:cs="Arial"/>
          <w:color w:val="000000" w:themeColor="text1"/>
        </w:rPr>
        <w:t xml:space="preserve"> para 48.</w:t>
      </w:r>
    </w:p>
  </w:footnote>
  <w:footnote w:id="114">
    <w:p w14:paraId="2CA83B06" w14:textId="659ADED5" w:rsidR="000A7A21" w:rsidRPr="00887B17" w:rsidRDefault="000A7A21"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405419" w:rsidRPr="00887B17">
        <w:rPr>
          <w:rFonts w:cs="Arial"/>
          <w:color w:val="000000" w:themeColor="text1"/>
        </w:rPr>
        <w:tab/>
      </w:r>
      <w:r w:rsidRPr="00887B17">
        <w:rPr>
          <w:rFonts w:cs="Arial"/>
          <w:i/>
          <w:iCs/>
          <w:color w:val="000000" w:themeColor="text1"/>
          <w:lang w:val="en-US"/>
        </w:rPr>
        <w:t>Rowland and Others v Logos Carriers</w:t>
      </w:r>
      <w:r w:rsidR="003A5944">
        <w:rPr>
          <w:rFonts w:cs="Arial"/>
          <w:color w:val="000000" w:themeColor="text1"/>
          <w:lang w:val="en-US"/>
        </w:rPr>
        <w:t xml:space="preserve"> </w:t>
      </w:r>
      <w:r w:rsidR="003A5944" w:rsidRPr="003A5944">
        <w:rPr>
          <w:rFonts w:cs="Arial"/>
          <w:i/>
          <w:iCs/>
          <w:color w:val="000000" w:themeColor="text1"/>
          <w:lang w:val="en-US"/>
        </w:rPr>
        <w:t>(supra)</w:t>
      </w:r>
      <w:r w:rsidR="00405419" w:rsidRPr="00887B17">
        <w:rPr>
          <w:rFonts w:cs="Arial"/>
          <w:color w:val="000000" w:themeColor="text1"/>
          <w:lang w:val="en-US"/>
        </w:rPr>
        <w:t xml:space="preserve">, para </w:t>
      </w:r>
      <w:r w:rsidRPr="00887B17">
        <w:rPr>
          <w:rFonts w:cs="Arial"/>
          <w:color w:val="000000" w:themeColor="text1"/>
          <w:lang w:val="en-US"/>
        </w:rPr>
        <w:t>32</w:t>
      </w:r>
      <w:r w:rsidR="00405419" w:rsidRPr="00887B17">
        <w:rPr>
          <w:rFonts w:cs="Arial"/>
          <w:color w:val="000000" w:themeColor="text1"/>
          <w:lang w:val="en-US"/>
        </w:rPr>
        <w:t>.</w:t>
      </w:r>
    </w:p>
  </w:footnote>
  <w:footnote w:id="115">
    <w:p w14:paraId="4CE2F5AA" w14:textId="1FE5089A" w:rsidR="000A7A21" w:rsidRPr="00887B17" w:rsidRDefault="000A7A21"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2C6C5C" w:rsidRPr="00887B17">
        <w:rPr>
          <w:rFonts w:cs="Arial"/>
          <w:color w:val="000000" w:themeColor="text1"/>
        </w:rPr>
        <w:tab/>
      </w:r>
      <w:r w:rsidRPr="00887B17">
        <w:rPr>
          <w:rFonts w:cs="Arial"/>
          <w:color w:val="000000" w:themeColor="text1"/>
          <w:lang w:val="en-US"/>
        </w:rPr>
        <w:t>City AA</w:t>
      </w:r>
      <w:r w:rsidR="002C6C5C" w:rsidRPr="00887B17">
        <w:rPr>
          <w:rFonts w:cs="Arial"/>
          <w:color w:val="000000" w:themeColor="text1"/>
          <w:lang w:val="en-US"/>
        </w:rPr>
        <w:t xml:space="preserve"> </w:t>
      </w:r>
      <w:r w:rsidRPr="00887B17">
        <w:rPr>
          <w:rFonts w:cs="Arial"/>
          <w:color w:val="000000" w:themeColor="text1"/>
          <w:lang w:val="en-US"/>
        </w:rPr>
        <w:t xml:space="preserve">para 75, rec. 503. </w:t>
      </w:r>
    </w:p>
  </w:footnote>
  <w:footnote w:id="116">
    <w:p w14:paraId="146E54C7" w14:textId="259174EC" w:rsidR="00E07011" w:rsidRPr="00887B17" w:rsidRDefault="00E07011"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Al-Habsy</w:t>
      </w:r>
      <w:r w:rsidR="007E1091" w:rsidRPr="00887B17">
        <w:rPr>
          <w:rFonts w:cs="Arial"/>
          <w:lang w:val="en-US"/>
        </w:rPr>
        <w:t>, para 47, rec.</w:t>
      </w:r>
      <w:r w:rsidR="0026577F">
        <w:rPr>
          <w:rFonts w:cs="Arial"/>
          <w:lang w:val="en-US"/>
        </w:rPr>
        <w:t xml:space="preserve"> </w:t>
      </w:r>
      <w:r w:rsidR="00791F1F">
        <w:rPr>
          <w:rFonts w:cs="Arial"/>
          <w:lang w:val="en-US"/>
        </w:rPr>
        <w:t>603.</w:t>
      </w:r>
    </w:p>
  </w:footnote>
  <w:footnote w:id="117">
    <w:p w14:paraId="39F7592B" w14:textId="572C21FA" w:rsidR="000A7A21" w:rsidRPr="00887B17" w:rsidRDefault="000A7A21"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CE6C63" w:rsidRPr="00887B17">
        <w:rPr>
          <w:rFonts w:cs="Arial"/>
          <w:color w:val="000000" w:themeColor="text1"/>
        </w:rPr>
        <w:tab/>
      </w:r>
      <w:r w:rsidRPr="00887B17">
        <w:rPr>
          <w:rFonts w:cs="Arial"/>
          <w:color w:val="000000" w:themeColor="text1"/>
          <w:lang w:val="en-US"/>
        </w:rPr>
        <w:t>City AA para 49, rec. 489 – 490.</w:t>
      </w:r>
    </w:p>
  </w:footnote>
  <w:footnote w:id="118">
    <w:p w14:paraId="6D13A8F7" w14:textId="79F2ABD3" w:rsidR="00C638FC" w:rsidRPr="00887B17" w:rsidRDefault="00C638F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9B23EE" w:rsidRPr="00887B17">
        <w:rPr>
          <w:rFonts w:cs="Arial"/>
          <w:color w:val="000000" w:themeColor="text1"/>
        </w:rPr>
        <w:tab/>
      </w:r>
      <w:r w:rsidRPr="00887B17">
        <w:rPr>
          <w:rFonts w:cs="Arial"/>
          <w:color w:val="000000" w:themeColor="text1"/>
          <w:lang w:val="en-US"/>
        </w:rPr>
        <w:t xml:space="preserve">Transnet HoA at para 114, p.27. </w:t>
      </w:r>
    </w:p>
  </w:footnote>
  <w:footnote w:id="119">
    <w:p w14:paraId="264603EB" w14:textId="77777777" w:rsidR="00C638FC" w:rsidRPr="00887B17" w:rsidRDefault="00C638F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 xml:space="preserve">Transnet HoA, at para 113, p.36-37. </w:t>
      </w:r>
    </w:p>
  </w:footnote>
  <w:footnote w:id="120">
    <w:p w14:paraId="77F5A992" w14:textId="2592F015" w:rsidR="00C638FC" w:rsidRPr="00887B17" w:rsidRDefault="00C638F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995EF6" w:rsidRPr="00887B17">
        <w:rPr>
          <w:rFonts w:cs="Arial"/>
          <w:color w:val="000000" w:themeColor="text1"/>
        </w:rPr>
        <w:tab/>
      </w:r>
      <w:r w:rsidRPr="00887B17">
        <w:rPr>
          <w:rFonts w:cs="Arial"/>
          <w:i/>
          <w:iCs/>
          <w:color w:val="000000" w:themeColor="text1"/>
        </w:rPr>
        <w:t>Grootboom</w:t>
      </w:r>
      <w:r w:rsidR="00014024">
        <w:rPr>
          <w:rFonts w:cs="Arial"/>
          <w:i/>
          <w:iCs/>
          <w:color w:val="000000" w:themeColor="text1"/>
        </w:rPr>
        <w:t xml:space="preserve"> (supra)</w:t>
      </w:r>
      <w:r w:rsidRPr="00887B17">
        <w:rPr>
          <w:rFonts w:cs="Arial"/>
          <w:color w:val="000000" w:themeColor="text1"/>
        </w:rPr>
        <w:t xml:space="preserve">, </w:t>
      </w:r>
      <w:r w:rsidR="00995EF6" w:rsidRPr="00887B17">
        <w:rPr>
          <w:rFonts w:cs="Arial"/>
          <w:color w:val="000000" w:themeColor="text1"/>
        </w:rPr>
        <w:t xml:space="preserve">para </w:t>
      </w:r>
      <w:r w:rsidRPr="00887B17">
        <w:rPr>
          <w:rFonts w:cs="Arial"/>
          <w:color w:val="000000" w:themeColor="text1"/>
        </w:rPr>
        <w:t>39</w:t>
      </w:r>
      <w:r w:rsidR="00995EF6" w:rsidRPr="00887B17">
        <w:rPr>
          <w:rFonts w:cs="Arial"/>
          <w:color w:val="000000" w:themeColor="text1"/>
        </w:rPr>
        <w:t>.</w:t>
      </w:r>
    </w:p>
  </w:footnote>
  <w:footnote w:id="121">
    <w:p w14:paraId="30628AD0" w14:textId="7FCBB2FF" w:rsidR="00F2145F" w:rsidRPr="00887B17" w:rsidRDefault="00F2145F" w:rsidP="00887B17">
      <w:pPr>
        <w:pStyle w:val="FootnoteText"/>
        <w:rPr>
          <w:rFonts w:cs="Arial"/>
          <w:lang w:val="en-US"/>
        </w:rPr>
      </w:pPr>
      <w:r w:rsidRPr="00887B17">
        <w:rPr>
          <w:rStyle w:val="FootnoteReference"/>
          <w:rFonts w:cs="Arial"/>
        </w:rPr>
        <w:footnoteRef/>
      </w:r>
      <w:r w:rsidRPr="00887B17">
        <w:rPr>
          <w:rFonts w:cs="Arial"/>
        </w:rPr>
        <w:t xml:space="preserve"> </w:t>
      </w:r>
      <w:r w:rsidR="00AF4C42" w:rsidRPr="00887B17">
        <w:rPr>
          <w:rFonts w:cs="Arial"/>
          <w:lang w:val="en-US"/>
        </w:rPr>
        <w:tab/>
        <w:t>Section 8 of the Constitution.</w:t>
      </w:r>
    </w:p>
  </w:footnote>
  <w:footnote w:id="122">
    <w:p w14:paraId="7CB32E04" w14:textId="0F5FFC1C" w:rsidR="00FE7432" w:rsidRPr="00887B17" w:rsidRDefault="00FE7432" w:rsidP="00887B17">
      <w:pPr>
        <w:pStyle w:val="FootnoteText"/>
        <w:rPr>
          <w:rFonts w:cs="Arial"/>
          <w:iCs/>
          <w:lang w:val="en-US"/>
        </w:rPr>
      </w:pPr>
      <w:r w:rsidRPr="00887B17">
        <w:rPr>
          <w:rStyle w:val="FootnoteReference"/>
          <w:rFonts w:cs="Arial"/>
        </w:rPr>
        <w:footnoteRef/>
      </w:r>
      <w:r w:rsidRPr="00887B17">
        <w:rPr>
          <w:rFonts w:cs="Arial"/>
        </w:rPr>
        <w:t xml:space="preserve"> </w:t>
      </w:r>
      <w:r w:rsidR="00C6638D" w:rsidRPr="00887B17">
        <w:rPr>
          <w:rFonts w:cs="Arial"/>
        </w:rPr>
        <w:tab/>
      </w:r>
      <w:r w:rsidR="00C6638D" w:rsidRPr="00887B17">
        <w:rPr>
          <w:rFonts w:cs="Arial"/>
          <w:i/>
          <w:color w:val="000000" w:themeColor="text1"/>
          <w:lang w:val="en-US"/>
        </w:rPr>
        <w:t>Grootboom</w:t>
      </w:r>
      <w:r w:rsidR="00C6638D" w:rsidRPr="00887B17">
        <w:rPr>
          <w:rFonts w:cs="Arial"/>
          <w:i/>
          <w:color w:val="000000" w:themeColor="text1"/>
          <w:lang w:val="en-US"/>
        </w:rPr>
        <w:t>,</w:t>
      </w:r>
      <w:r w:rsidR="00C6638D" w:rsidRPr="00887B17">
        <w:rPr>
          <w:rFonts w:cs="Arial"/>
          <w:iCs/>
          <w:color w:val="000000" w:themeColor="text1"/>
          <w:lang w:val="en-US"/>
        </w:rPr>
        <w:t xml:space="preserve"> para 39</w:t>
      </w:r>
      <w:r w:rsidR="007A4181" w:rsidRPr="00887B17">
        <w:rPr>
          <w:rFonts w:cs="Arial"/>
          <w:iCs/>
          <w:color w:val="000000" w:themeColor="text1"/>
          <w:lang w:val="en-US"/>
        </w:rPr>
        <w:t>-40</w:t>
      </w:r>
      <w:r w:rsidR="00C6638D" w:rsidRPr="00887B17">
        <w:rPr>
          <w:rFonts w:cs="Arial"/>
          <w:iCs/>
          <w:color w:val="000000" w:themeColor="text1"/>
          <w:lang w:val="en-US"/>
        </w:rPr>
        <w:t>.</w:t>
      </w:r>
    </w:p>
  </w:footnote>
  <w:footnote w:id="123">
    <w:p w14:paraId="5CFB3D53" w14:textId="77777777" w:rsidR="00776BAD" w:rsidRPr="00887B17" w:rsidRDefault="00776BAD"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color w:val="000000" w:themeColor="text1"/>
          <w:lang w:val="en-US"/>
        </w:rPr>
        <w:t xml:space="preserve">FA para 113, rec. 40. </w:t>
      </w:r>
    </w:p>
  </w:footnote>
  <w:footnote w:id="124">
    <w:p w14:paraId="2D6C8713" w14:textId="77777777" w:rsidR="00776BAD" w:rsidRPr="00887B17" w:rsidRDefault="00776BAD"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i/>
          <w:iCs/>
        </w:rPr>
        <w:t>Mkontwana v Nelson Mandela Metro Muni; Bisset v Buffalo City Muni; TRAC v MEC, Local Govt &amp; Housing, Gauteng (KZN Law Soc &amp; Msunduzi Muni as Amici Curiae)</w:t>
      </w:r>
      <w:r w:rsidRPr="00887B17">
        <w:rPr>
          <w:rFonts w:cs="Arial"/>
        </w:rPr>
        <w:t xml:space="preserve"> 2005 (1) SA 530 (CC), para 59, quoted with approval in </w:t>
      </w:r>
      <w:r w:rsidRPr="00887B17">
        <w:rPr>
          <w:rFonts w:cs="Arial"/>
          <w:i/>
          <w:iCs/>
        </w:rPr>
        <w:t>President of the Republic of South Africa and Another v Modderklip Boerdery (Pty) Ltd (Agri SA and Others, Amici Curiae)</w:t>
      </w:r>
      <w:r w:rsidRPr="00887B17">
        <w:rPr>
          <w:rFonts w:cs="Arial"/>
        </w:rPr>
        <w:t xml:space="preserve"> 2005 (5) SA 3 (CC), para 29.</w:t>
      </w:r>
    </w:p>
  </w:footnote>
  <w:footnote w:id="125">
    <w:p w14:paraId="136AC574" w14:textId="033695BC" w:rsidR="00A849D4" w:rsidRPr="00887B17" w:rsidRDefault="00A849D4"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885CF2" w:rsidRPr="00887B17">
        <w:rPr>
          <w:rFonts w:cs="Arial"/>
          <w:color w:val="000000" w:themeColor="text1"/>
        </w:rPr>
        <w:tab/>
      </w:r>
      <w:r w:rsidRPr="00887B17">
        <w:rPr>
          <w:rFonts w:cs="Arial"/>
          <w:color w:val="000000" w:themeColor="text1"/>
          <w:lang w:val="en-US"/>
        </w:rPr>
        <w:t>City AA para 89, rec. 509</w:t>
      </w:r>
      <w:r w:rsidR="00384652" w:rsidRPr="00887B17">
        <w:rPr>
          <w:rFonts w:cs="Arial"/>
          <w:color w:val="000000" w:themeColor="text1"/>
          <w:lang w:val="en-US"/>
        </w:rPr>
        <w:t>; Al-Habsy, para 10-</w:t>
      </w:r>
      <w:r w:rsidR="00444807" w:rsidRPr="00887B17">
        <w:rPr>
          <w:rFonts w:cs="Arial"/>
          <w:color w:val="000000" w:themeColor="text1"/>
          <w:lang w:val="en-US"/>
        </w:rPr>
        <w:t>13, rec. 593</w:t>
      </w:r>
      <w:r w:rsidR="00FA5538" w:rsidRPr="00887B17">
        <w:rPr>
          <w:rFonts w:cs="Arial"/>
          <w:color w:val="000000" w:themeColor="text1"/>
          <w:lang w:val="en-US"/>
        </w:rPr>
        <w:t>.</w:t>
      </w:r>
      <w:r w:rsidR="00E17DC9" w:rsidRPr="00887B17">
        <w:rPr>
          <w:rFonts w:cs="Arial"/>
          <w:color w:val="000000" w:themeColor="text1"/>
          <w:lang w:val="en-US"/>
        </w:rPr>
        <w:t xml:space="preserve"> </w:t>
      </w:r>
      <w:r w:rsidR="00FA5538" w:rsidRPr="00887B17">
        <w:rPr>
          <w:rFonts w:cs="Arial"/>
          <w:color w:val="000000" w:themeColor="text1"/>
          <w:lang w:val="en-US"/>
        </w:rPr>
        <w:t>S</w:t>
      </w:r>
      <w:r w:rsidR="00E17DC9" w:rsidRPr="00887B17">
        <w:rPr>
          <w:rFonts w:cs="Arial"/>
          <w:color w:val="000000" w:themeColor="text1"/>
          <w:lang w:val="en-US"/>
        </w:rPr>
        <w:t xml:space="preserve">ee also Al-Habsy rec. 607 </w:t>
      </w:r>
      <w:r w:rsidR="002B085E" w:rsidRPr="00887B17">
        <w:rPr>
          <w:rFonts w:cs="Arial"/>
          <w:color w:val="000000" w:themeColor="text1"/>
          <w:lang w:val="en-US"/>
        </w:rPr>
        <w:t>and RA para</w:t>
      </w:r>
      <w:r w:rsidR="006C36A8" w:rsidRPr="00887B17">
        <w:rPr>
          <w:rFonts w:cs="Arial"/>
          <w:color w:val="000000" w:themeColor="text1"/>
          <w:lang w:val="en-US"/>
        </w:rPr>
        <w:t> </w:t>
      </w:r>
      <w:r w:rsidR="002B085E" w:rsidRPr="00887B17">
        <w:rPr>
          <w:rFonts w:cs="Arial"/>
          <w:color w:val="000000" w:themeColor="text1"/>
          <w:lang w:val="en-US"/>
        </w:rPr>
        <w:t xml:space="preserve">165, rec. 741 </w:t>
      </w:r>
      <w:r w:rsidR="00E17DC9" w:rsidRPr="00887B17">
        <w:rPr>
          <w:rFonts w:cs="Arial"/>
          <w:color w:val="000000" w:themeColor="text1"/>
          <w:lang w:val="en-US"/>
        </w:rPr>
        <w:t>where the City’s averment</w:t>
      </w:r>
      <w:r w:rsidR="002B085E" w:rsidRPr="00887B17">
        <w:rPr>
          <w:rFonts w:cs="Arial"/>
          <w:color w:val="000000" w:themeColor="text1"/>
          <w:lang w:val="en-US"/>
        </w:rPr>
        <w:t xml:space="preserve"> that it has no suitable available land</w:t>
      </w:r>
      <w:r w:rsidR="00E17DC9" w:rsidRPr="00887B17">
        <w:rPr>
          <w:rFonts w:cs="Arial"/>
          <w:color w:val="000000" w:themeColor="text1"/>
          <w:lang w:val="en-US"/>
        </w:rPr>
        <w:t xml:space="preserve"> </w:t>
      </w:r>
      <w:r w:rsidR="006C36A8" w:rsidRPr="00887B17">
        <w:rPr>
          <w:rFonts w:cs="Arial"/>
          <w:color w:val="000000" w:themeColor="text1"/>
          <w:lang w:val="en-US"/>
        </w:rPr>
        <w:t>for emergency housing of the unlawful occupiers is</w:t>
      </w:r>
      <w:r w:rsidR="00E17DC9" w:rsidRPr="00887B17">
        <w:rPr>
          <w:rFonts w:cs="Arial"/>
          <w:color w:val="000000" w:themeColor="text1"/>
          <w:lang w:val="en-US"/>
        </w:rPr>
        <w:t xml:space="preserve"> not </w:t>
      </w:r>
      <w:r w:rsidR="00050452" w:rsidRPr="00887B17">
        <w:rPr>
          <w:rFonts w:cs="Arial"/>
          <w:color w:val="000000" w:themeColor="text1"/>
          <w:lang w:val="en-US"/>
        </w:rPr>
        <w:t>placed in issue</w:t>
      </w:r>
      <w:r w:rsidR="001F41A8" w:rsidRPr="00887B17">
        <w:rPr>
          <w:rFonts w:cs="Arial"/>
          <w:color w:val="000000" w:themeColor="text1"/>
          <w:lang w:val="en-US"/>
        </w:rPr>
        <w:t xml:space="preserve"> by either the unlawful occupiers or Transnet.</w:t>
      </w:r>
    </w:p>
  </w:footnote>
  <w:footnote w:id="126">
    <w:p w14:paraId="02259C35" w14:textId="03EF00DD" w:rsidR="00A849D4" w:rsidRPr="00887B17" w:rsidRDefault="00A849D4"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1F41A8" w:rsidRPr="00887B17">
        <w:rPr>
          <w:rFonts w:cs="Arial"/>
          <w:color w:val="000000" w:themeColor="text1"/>
        </w:rPr>
        <w:tab/>
      </w:r>
      <w:r w:rsidRPr="00887B17">
        <w:rPr>
          <w:rFonts w:cs="Arial"/>
          <w:color w:val="000000" w:themeColor="text1"/>
          <w:lang w:val="en-US"/>
        </w:rPr>
        <w:t>RA para 76, rec. 713</w:t>
      </w:r>
      <w:r w:rsidR="001F41A8" w:rsidRPr="00887B17">
        <w:rPr>
          <w:rFonts w:cs="Arial"/>
          <w:color w:val="000000" w:themeColor="text1"/>
          <w:lang w:val="en-US"/>
        </w:rPr>
        <w:t>; Annexure</w:t>
      </w:r>
      <w:r w:rsidRPr="00887B17">
        <w:rPr>
          <w:rFonts w:cs="Arial"/>
          <w:color w:val="000000" w:themeColor="text1"/>
          <w:lang w:val="en-US"/>
        </w:rPr>
        <w:t xml:space="preserve"> ‘RA1’, rec. 737-756.</w:t>
      </w:r>
    </w:p>
  </w:footnote>
  <w:footnote w:id="127">
    <w:p w14:paraId="698D9B6F" w14:textId="3A94F039" w:rsidR="001F41A8" w:rsidRPr="00887B17" w:rsidRDefault="001F41A8" w:rsidP="00887B17">
      <w:pPr>
        <w:pStyle w:val="FootnoteText"/>
        <w:rPr>
          <w:rFonts w:cs="Arial"/>
          <w:color w:val="000000" w:themeColor="text1"/>
          <w:lang w:val="en-US"/>
        </w:rPr>
      </w:pPr>
      <w:r w:rsidRPr="00887B17">
        <w:rPr>
          <w:rStyle w:val="FootnoteReference"/>
          <w:rFonts w:cs="Arial"/>
          <w:color w:val="000000" w:themeColor="text1"/>
        </w:rPr>
        <w:footnoteRef/>
      </w:r>
      <w:r w:rsidR="00504AB2" w:rsidRPr="00887B17">
        <w:rPr>
          <w:rFonts w:cs="Arial"/>
          <w:color w:val="000000" w:themeColor="text1"/>
        </w:rPr>
        <w:t xml:space="preserve"> </w:t>
      </w:r>
      <w:r w:rsidR="00504AB2" w:rsidRPr="00887B17">
        <w:rPr>
          <w:rFonts w:cs="Arial"/>
          <w:color w:val="000000" w:themeColor="text1"/>
        </w:rPr>
        <w:tab/>
      </w:r>
      <w:r w:rsidRPr="00887B17">
        <w:rPr>
          <w:rFonts w:cs="Arial"/>
          <w:color w:val="000000" w:themeColor="text1"/>
          <w:lang w:val="en-US"/>
        </w:rPr>
        <w:t>Transnet HoA</w:t>
      </w:r>
      <w:r w:rsidR="00504AB2" w:rsidRPr="00887B17">
        <w:rPr>
          <w:rFonts w:cs="Arial"/>
          <w:color w:val="000000" w:themeColor="text1"/>
          <w:lang w:val="en-US"/>
        </w:rPr>
        <w:t>,</w:t>
      </w:r>
      <w:r w:rsidRPr="00887B17">
        <w:rPr>
          <w:rFonts w:cs="Arial"/>
          <w:color w:val="000000" w:themeColor="text1"/>
          <w:lang w:val="en-US"/>
        </w:rPr>
        <w:t xml:space="preserve"> para 70, p.23. </w:t>
      </w:r>
    </w:p>
  </w:footnote>
  <w:footnote w:id="128">
    <w:p w14:paraId="3C492EC9" w14:textId="7266A021" w:rsidR="00FC1B00" w:rsidRPr="00887B17" w:rsidRDefault="00FC1B00"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00E07BA6" w:rsidRPr="00887B17">
        <w:rPr>
          <w:rFonts w:cs="Arial"/>
          <w:i/>
          <w:iCs/>
        </w:rPr>
        <w:t>National Council of Societies for the Prevention of Cruelty to Animals v Openshaw</w:t>
      </w:r>
      <w:r w:rsidR="00E07BA6" w:rsidRPr="00887B17">
        <w:rPr>
          <w:rFonts w:cs="Arial"/>
        </w:rPr>
        <w:t> </w:t>
      </w:r>
      <w:r w:rsidR="00E07BA6" w:rsidRPr="00887B17">
        <w:rPr>
          <w:rFonts w:eastAsiaTheme="majorEastAsia" w:cs="Arial"/>
        </w:rPr>
        <w:t>2008 (5) SA 339 (SCA)</w:t>
      </w:r>
      <w:r w:rsidR="00E07BA6" w:rsidRPr="00887B17">
        <w:rPr>
          <w:rFonts w:cs="Arial"/>
        </w:rPr>
        <w:t xml:space="preserve">, </w:t>
      </w:r>
      <w:r w:rsidR="00E07BA6" w:rsidRPr="00887B17">
        <w:rPr>
          <w:rFonts w:cs="Arial"/>
        </w:rPr>
        <w:t>para 29</w:t>
      </w:r>
      <w:r w:rsidR="00E07BA6" w:rsidRPr="00887B17">
        <w:rPr>
          <w:rFonts w:cs="Arial"/>
        </w:rPr>
        <w:t>.</w:t>
      </w:r>
    </w:p>
  </w:footnote>
  <w:footnote w:id="129">
    <w:p w14:paraId="75DFA80B" w14:textId="56026ADC" w:rsidR="00070344" w:rsidRPr="00887B17" w:rsidRDefault="00070344" w:rsidP="00887B17">
      <w:pPr>
        <w:pStyle w:val="FootnoteText"/>
        <w:rPr>
          <w:rFonts w:cs="Arial"/>
          <w:lang w:val="en-CA"/>
        </w:rPr>
      </w:pPr>
      <w:r w:rsidRPr="00887B17">
        <w:rPr>
          <w:rStyle w:val="FootnoteReference"/>
          <w:rFonts w:cs="Arial"/>
        </w:rPr>
        <w:footnoteRef/>
      </w:r>
      <w:r w:rsidRPr="00887B17">
        <w:rPr>
          <w:rFonts w:cs="Arial"/>
        </w:rPr>
        <w:t xml:space="preserve"> </w:t>
      </w:r>
      <w:r w:rsidRPr="00887B17">
        <w:rPr>
          <w:rFonts w:cs="Arial"/>
          <w:i/>
          <w:iCs/>
        </w:rPr>
        <w:t>Singh v Commissioner for the South African Revenue Service</w:t>
      </w:r>
      <w:r w:rsidRPr="00887B17">
        <w:rPr>
          <w:rFonts w:cs="Arial"/>
        </w:rPr>
        <w:t xml:space="preserve"> </w:t>
      </w:r>
      <w:r w:rsidR="00F653AF" w:rsidRPr="00887B17">
        <w:rPr>
          <w:rFonts w:cs="Arial"/>
        </w:rPr>
        <w:t>2003 (4) SA 520 (SCA)</w:t>
      </w:r>
      <w:r w:rsidR="00504AB2" w:rsidRPr="00887B17">
        <w:rPr>
          <w:rFonts w:cs="Arial"/>
        </w:rPr>
        <w:t>,</w:t>
      </w:r>
      <w:r w:rsidRPr="00887B17">
        <w:rPr>
          <w:rFonts w:cs="Arial"/>
        </w:rPr>
        <w:t xml:space="preserve"> para 24.</w:t>
      </w:r>
    </w:p>
  </w:footnote>
  <w:footnote w:id="130">
    <w:p w14:paraId="77BA19F4" w14:textId="412626E2" w:rsidR="00EB29BD" w:rsidRPr="00887B17" w:rsidRDefault="00EB29BD"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i/>
          <w:iCs/>
          <w:color w:val="000000" w:themeColor="text1"/>
          <w:lang w:val="en-US"/>
        </w:rPr>
        <w:t>Joe Slovo</w:t>
      </w:r>
      <w:r w:rsidR="007E2726" w:rsidRPr="00887B17">
        <w:rPr>
          <w:rFonts w:cs="Arial"/>
          <w:i/>
          <w:iCs/>
          <w:color w:val="000000" w:themeColor="text1"/>
          <w:lang w:val="en-US"/>
        </w:rPr>
        <w:t xml:space="preserve"> (supra)</w:t>
      </w:r>
      <w:r w:rsidRPr="00887B17">
        <w:rPr>
          <w:rFonts w:cs="Arial"/>
          <w:color w:val="000000" w:themeColor="text1"/>
          <w:lang w:val="en-US"/>
        </w:rPr>
        <w:t xml:space="preserve"> par</w:t>
      </w:r>
      <w:r w:rsidR="007E2726" w:rsidRPr="00887B17">
        <w:rPr>
          <w:rFonts w:cs="Arial"/>
          <w:color w:val="000000" w:themeColor="text1"/>
          <w:lang w:val="en-US"/>
        </w:rPr>
        <w:t>a</w:t>
      </w:r>
      <w:r w:rsidR="00AE7BB4" w:rsidRPr="00887B17">
        <w:rPr>
          <w:rFonts w:cs="Arial"/>
          <w:color w:val="000000" w:themeColor="text1"/>
          <w:lang w:val="en-US"/>
        </w:rPr>
        <w:t xml:space="preserve"> 136; para 240.</w:t>
      </w:r>
      <w:r w:rsidRPr="00887B17">
        <w:rPr>
          <w:rFonts w:cs="Arial"/>
          <w:color w:val="000000" w:themeColor="text1"/>
          <w:lang w:val="en-US"/>
        </w:rPr>
        <w:t xml:space="preserve"> </w:t>
      </w:r>
    </w:p>
  </w:footnote>
  <w:footnote w:id="131">
    <w:p w14:paraId="46D1BFC7" w14:textId="56820026" w:rsidR="007B19EA" w:rsidRPr="00887B17" w:rsidRDefault="007B19EA"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Notice ito Rule 6(5)(e) and City further affidavit, </w:t>
      </w:r>
      <w:r w:rsidR="00431285" w:rsidRPr="00887B17">
        <w:rPr>
          <w:rFonts w:cs="Arial"/>
          <w:lang w:val="en-US"/>
        </w:rPr>
        <w:t>City Notices Bundle</w:t>
      </w:r>
      <w:r w:rsidR="005B45FA" w:rsidRPr="00887B17">
        <w:rPr>
          <w:rFonts w:cs="Arial"/>
          <w:lang w:val="en-US"/>
        </w:rPr>
        <w:t xml:space="preserve">, rec. 15 - </w:t>
      </w:r>
      <w:r w:rsidR="00BA53A1" w:rsidRPr="00887B17">
        <w:rPr>
          <w:rFonts w:cs="Arial"/>
          <w:lang w:val="en-US"/>
        </w:rPr>
        <w:t>58</w:t>
      </w:r>
      <w:r w:rsidR="005B45FA" w:rsidRPr="00887B17">
        <w:rPr>
          <w:rFonts w:cs="Arial"/>
          <w:lang w:val="en-US"/>
        </w:rPr>
        <w:t>.</w:t>
      </w:r>
    </w:p>
  </w:footnote>
  <w:footnote w:id="132">
    <w:p w14:paraId="4F31BFE4" w14:textId="5596CE96" w:rsidR="00B83388" w:rsidRPr="00887B17" w:rsidRDefault="00B83388"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These include </w:t>
      </w:r>
      <w:r w:rsidRPr="00887B17">
        <w:rPr>
          <w:rFonts w:cs="Arial"/>
          <w:lang w:val="en-GB"/>
        </w:rPr>
        <w:t>roads, electricity, water, sewage, refuse removal, parks and recreation and all the human resources and capacity requirements attendant on the effective delivery thereof</w:t>
      </w:r>
      <w:r w:rsidRPr="00887B17">
        <w:rPr>
          <w:rFonts w:cs="Arial"/>
          <w:lang w:val="en-GB"/>
        </w:rPr>
        <w:t>.  City further affidavit, para 13, City notices bundle, rec. 25</w:t>
      </w:r>
      <w:r w:rsidR="00DF1D3D" w:rsidRPr="00887B17">
        <w:rPr>
          <w:rFonts w:cs="Arial"/>
          <w:lang w:val="en-GB"/>
        </w:rPr>
        <w:t>.</w:t>
      </w:r>
    </w:p>
  </w:footnote>
  <w:footnote w:id="133">
    <w:p w14:paraId="63FB4F91" w14:textId="24BE79B5" w:rsidR="00A849D4" w:rsidRPr="00887B17" w:rsidRDefault="00A849D4"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 xml:space="preserve">City </w:t>
      </w:r>
      <w:r w:rsidR="001B1009" w:rsidRPr="00887B17">
        <w:rPr>
          <w:rFonts w:cs="Arial"/>
          <w:color w:val="000000" w:themeColor="text1"/>
          <w:lang w:val="en-US"/>
        </w:rPr>
        <w:t>further affidavit</w:t>
      </w:r>
      <w:r w:rsidRPr="00887B17">
        <w:rPr>
          <w:rFonts w:cs="Arial"/>
          <w:color w:val="000000" w:themeColor="text1"/>
          <w:lang w:val="en-US"/>
        </w:rPr>
        <w:t xml:space="preserve">, para 14, </w:t>
      </w:r>
      <w:r w:rsidR="00C07A62" w:rsidRPr="00887B17">
        <w:rPr>
          <w:rFonts w:cs="Arial"/>
          <w:color w:val="000000" w:themeColor="text1"/>
          <w:lang w:val="en-US"/>
        </w:rPr>
        <w:t>City notices bundle, rec.</w:t>
      </w:r>
      <w:r w:rsidR="001B1009" w:rsidRPr="00887B17">
        <w:rPr>
          <w:rFonts w:cs="Arial"/>
          <w:color w:val="000000" w:themeColor="text1"/>
          <w:lang w:val="en-US"/>
        </w:rPr>
        <w:t xml:space="preserve"> 26</w:t>
      </w:r>
    </w:p>
  </w:footnote>
  <w:footnote w:id="134">
    <w:p w14:paraId="00780379" w14:textId="77777777" w:rsidR="006555A7" w:rsidRPr="00887B17" w:rsidRDefault="006555A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City </w:t>
      </w:r>
      <w:r w:rsidRPr="00887B17">
        <w:rPr>
          <w:rFonts w:cs="Arial"/>
          <w:color w:val="000000" w:themeColor="text1"/>
          <w:lang w:val="en-US"/>
        </w:rPr>
        <w:t>further affidavit</w:t>
      </w:r>
      <w:r w:rsidRPr="00887B17">
        <w:rPr>
          <w:rFonts w:cs="Arial"/>
          <w:lang w:val="en-US"/>
        </w:rPr>
        <w:t xml:space="preserve"> para 15, City notices bundle, rec. 26.</w:t>
      </w:r>
    </w:p>
  </w:footnote>
  <w:footnote w:id="135">
    <w:p w14:paraId="6FE3FBFC" w14:textId="4637BE1E" w:rsidR="00832DF3" w:rsidRPr="00887B17" w:rsidRDefault="00832DF3" w:rsidP="00887B17">
      <w:pPr>
        <w:pStyle w:val="FootnoteText"/>
        <w:rPr>
          <w:rFonts w:cs="Arial"/>
          <w:lang w:val="en-US"/>
        </w:rPr>
      </w:pPr>
      <w:r w:rsidRPr="00887B17">
        <w:rPr>
          <w:rStyle w:val="FootnoteReference"/>
          <w:rFonts w:cs="Arial"/>
        </w:rPr>
        <w:footnoteRef/>
      </w:r>
      <w:r w:rsidRPr="00887B17">
        <w:rPr>
          <w:rFonts w:cs="Arial"/>
        </w:rPr>
        <w:t xml:space="preserve"> </w:t>
      </w:r>
      <w:r w:rsidR="00C07A62" w:rsidRPr="00887B17">
        <w:rPr>
          <w:rFonts w:cs="Arial"/>
          <w:lang w:val="en-US"/>
        </w:rPr>
        <w:tab/>
        <w:t xml:space="preserve">City </w:t>
      </w:r>
      <w:r w:rsidR="001B1009" w:rsidRPr="00887B17">
        <w:rPr>
          <w:rFonts w:cs="Arial"/>
          <w:color w:val="000000" w:themeColor="text1"/>
          <w:lang w:val="en-US"/>
        </w:rPr>
        <w:t>further affidavit</w:t>
      </w:r>
      <w:r w:rsidR="001B1009" w:rsidRPr="00887B17">
        <w:rPr>
          <w:rFonts w:cs="Arial"/>
          <w:lang w:val="en-US"/>
        </w:rPr>
        <w:t xml:space="preserve"> </w:t>
      </w:r>
      <w:r w:rsidR="00C07A62" w:rsidRPr="00887B17">
        <w:rPr>
          <w:rFonts w:cs="Arial"/>
          <w:lang w:val="en-US"/>
        </w:rPr>
        <w:t xml:space="preserve">para 15, </w:t>
      </w:r>
      <w:r w:rsidR="001B1009" w:rsidRPr="00887B17">
        <w:rPr>
          <w:rFonts w:cs="Arial"/>
          <w:lang w:val="en-US"/>
        </w:rPr>
        <w:t>City notices bundle, rec. 26.</w:t>
      </w:r>
    </w:p>
  </w:footnote>
  <w:footnote w:id="136">
    <w:p w14:paraId="27E4512C" w14:textId="734A3C2C" w:rsidR="00D96762" w:rsidRPr="00887B17" w:rsidRDefault="00D96762" w:rsidP="00887B17">
      <w:pPr>
        <w:pStyle w:val="FootnoteText"/>
        <w:rPr>
          <w:rFonts w:cs="Arial"/>
          <w:lang w:val="en-US"/>
        </w:rPr>
      </w:pPr>
      <w:r w:rsidRPr="00887B17">
        <w:rPr>
          <w:rStyle w:val="FootnoteReference"/>
          <w:rFonts w:cs="Arial"/>
        </w:rPr>
        <w:footnoteRef/>
      </w:r>
      <w:r w:rsidRPr="00887B17">
        <w:rPr>
          <w:rFonts w:cs="Arial"/>
        </w:rPr>
        <w:t xml:space="preserve"> </w:t>
      </w:r>
      <w:r w:rsidR="00DD6E4A" w:rsidRPr="00887B17">
        <w:rPr>
          <w:rFonts w:cs="Arial"/>
          <w:lang w:val="en-US"/>
        </w:rPr>
        <w:tab/>
      </w:r>
      <w:r w:rsidR="00DD6E4A" w:rsidRPr="00887B17">
        <w:rPr>
          <w:rFonts w:cs="Arial"/>
          <w:color w:val="000000"/>
          <w:lang w:val="en-GB"/>
        </w:rPr>
        <w:t>These factors are</w:t>
      </w:r>
      <w:r w:rsidR="00DD6E4A" w:rsidRPr="00887B17">
        <w:rPr>
          <w:rFonts w:cs="Arial"/>
          <w:color w:val="000000"/>
          <w:lang w:val="en-GB"/>
        </w:rPr>
        <w:t xml:space="preserve"> -</w:t>
      </w:r>
      <w:r w:rsidR="00DD6E4A" w:rsidRPr="00887B17">
        <w:rPr>
          <w:rFonts w:cs="Arial"/>
          <w:color w:val="000000"/>
          <w:lang w:val="en-GB"/>
        </w:rPr>
        <w:t xml:space="preserve"> whether the capital asset may be required for the municipality’s own use at a later date;</w:t>
      </w:r>
      <w:r w:rsidR="00DD6E4A" w:rsidRPr="00887B17">
        <w:rPr>
          <w:rFonts w:cs="Arial"/>
          <w:lang w:val="en-GB"/>
        </w:rPr>
        <w:t xml:space="preserve"> </w:t>
      </w:r>
      <w:r w:rsidR="00DD6E4A" w:rsidRPr="00887B17">
        <w:rPr>
          <w:rFonts w:cs="Arial"/>
          <w:color w:val="000000"/>
          <w:lang w:val="en-GB"/>
        </w:rPr>
        <w:t>the expected loss or gain that is expected to result from the proposed transfer;</w:t>
      </w:r>
      <w:r w:rsidR="00DD6E4A" w:rsidRPr="00887B17">
        <w:rPr>
          <w:rFonts w:cs="Arial"/>
          <w:lang w:val="en-GB"/>
        </w:rPr>
        <w:t xml:space="preserve"> </w:t>
      </w:r>
      <w:r w:rsidR="00DD6E4A" w:rsidRPr="00887B17">
        <w:rPr>
          <w:rFonts w:cs="Arial"/>
          <w:color w:val="000000"/>
          <w:lang w:val="en-GB"/>
        </w:rPr>
        <w:t>the extent to which any compensation to be received in respect of the proposed transfer will result in a significant economic or financial cost or benefit to the municipality;</w:t>
      </w:r>
      <w:r w:rsidR="00DD6E4A" w:rsidRPr="00887B17">
        <w:rPr>
          <w:rFonts w:cs="Arial"/>
          <w:lang w:val="en-GB"/>
        </w:rPr>
        <w:t xml:space="preserve"> </w:t>
      </w:r>
      <w:r w:rsidR="00DD6E4A" w:rsidRPr="00887B17">
        <w:rPr>
          <w:rFonts w:cs="Arial"/>
          <w:color w:val="000000"/>
          <w:lang w:val="en-GB"/>
        </w:rPr>
        <w:t>the risks and rewards associated with the operation or control of the capital asset that is to be transferred in relation to the municipality’s interests;</w:t>
      </w:r>
      <w:r w:rsidR="00DD6E4A" w:rsidRPr="00887B17">
        <w:rPr>
          <w:rFonts w:cs="Arial"/>
          <w:lang w:val="en-GB"/>
        </w:rPr>
        <w:t xml:space="preserve"> </w:t>
      </w:r>
      <w:r w:rsidR="00DD6E4A" w:rsidRPr="00887B17">
        <w:rPr>
          <w:rFonts w:cs="Arial"/>
          <w:color w:val="000000"/>
          <w:lang w:val="en-GB"/>
        </w:rPr>
        <w:t>the effect that the proposed transfer will have on the credit rating of the municipality, its ability to raise long-term or short-term borrowings in the future and its financial position and cash flow;</w:t>
      </w:r>
      <w:r w:rsidR="00DD6E4A" w:rsidRPr="00887B17">
        <w:rPr>
          <w:rFonts w:cs="Arial"/>
          <w:lang w:val="en-GB"/>
        </w:rPr>
        <w:t xml:space="preserve"> </w:t>
      </w:r>
      <w:r w:rsidR="00DD6E4A" w:rsidRPr="00887B17">
        <w:rPr>
          <w:rFonts w:cs="Arial"/>
          <w:color w:val="000000"/>
          <w:lang w:val="en-GB"/>
        </w:rPr>
        <w:t>any limitations or conditions attached to the capital asset or the transfer of the asset, and the consequences of any potential non-compliance with those conditions;</w:t>
      </w:r>
      <w:r w:rsidR="00DD6E4A" w:rsidRPr="00887B17">
        <w:rPr>
          <w:rFonts w:cs="Arial"/>
          <w:lang w:val="en-GB"/>
        </w:rPr>
        <w:t xml:space="preserve"> </w:t>
      </w:r>
      <w:r w:rsidR="00DD6E4A" w:rsidRPr="00887B17">
        <w:rPr>
          <w:rFonts w:cs="Arial"/>
          <w:color w:val="000000"/>
          <w:lang w:val="en-GB"/>
        </w:rPr>
        <w:t>the estimated cost of the proposed transfer;</w:t>
      </w:r>
      <w:r w:rsidR="00DD6E4A" w:rsidRPr="00887B17">
        <w:rPr>
          <w:rFonts w:cs="Arial"/>
          <w:lang w:val="en-GB"/>
        </w:rPr>
        <w:t xml:space="preserve"> </w:t>
      </w:r>
      <w:r w:rsidR="00DD6E4A" w:rsidRPr="00887B17">
        <w:rPr>
          <w:rFonts w:cs="Arial"/>
          <w:color w:val="000000"/>
          <w:lang w:val="en-GB"/>
        </w:rPr>
        <w:t>the transfer of any liabilities and reserve funds associated with the capital asset;</w:t>
      </w:r>
      <w:r w:rsidR="00DD6E4A" w:rsidRPr="00887B17">
        <w:rPr>
          <w:rFonts w:cs="Arial"/>
          <w:lang w:val="en-GB"/>
        </w:rPr>
        <w:t xml:space="preserve"> </w:t>
      </w:r>
      <w:r w:rsidR="00DD6E4A" w:rsidRPr="00887B17">
        <w:rPr>
          <w:rFonts w:cs="Arial"/>
          <w:color w:val="000000"/>
          <w:lang w:val="en-GB"/>
        </w:rPr>
        <w:t>any comments or representations on the proposed transfer received from the local community and other interested persons;</w:t>
      </w:r>
      <w:r w:rsidR="00DD6E4A" w:rsidRPr="00887B17">
        <w:rPr>
          <w:rFonts w:cs="Arial"/>
          <w:lang w:val="en-GB"/>
        </w:rPr>
        <w:t xml:space="preserve"> </w:t>
      </w:r>
      <w:r w:rsidR="00DD6E4A" w:rsidRPr="00887B17">
        <w:rPr>
          <w:rFonts w:cs="Arial"/>
          <w:color w:val="000000"/>
          <w:lang w:val="en-GB"/>
        </w:rPr>
        <w:t>any written views and recommendations on the proposed transfer by the National Treasury and the relevant provincial treasury;</w:t>
      </w:r>
      <w:r w:rsidR="00DD6E4A" w:rsidRPr="00887B17">
        <w:rPr>
          <w:rFonts w:cs="Arial"/>
          <w:lang w:val="en-GB"/>
        </w:rPr>
        <w:t xml:space="preserve"> </w:t>
      </w:r>
      <w:r w:rsidR="00DD6E4A" w:rsidRPr="00887B17">
        <w:rPr>
          <w:rFonts w:cs="Arial"/>
          <w:color w:val="000000"/>
          <w:lang w:val="en-GB"/>
        </w:rPr>
        <w:t>the interests of any affected organ of State, the municipality’s own strategic, legal and economic interests and the interests of the local community; and</w:t>
      </w:r>
      <w:r w:rsidR="00DD6E4A" w:rsidRPr="00887B17">
        <w:rPr>
          <w:rFonts w:cs="Arial"/>
          <w:lang w:val="en-GB"/>
        </w:rPr>
        <w:t xml:space="preserve"> </w:t>
      </w:r>
      <w:r w:rsidR="00DD6E4A" w:rsidRPr="00887B17">
        <w:rPr>
          <w:rFonts w:cs="Arial"/>
          <w:color w:val="000000"/>
          <w:lang w:val="en-GB"/>
        </w:rPr>
        <w:t>compliance with the legislative regime applicable to the proposed transfer.</w:t>
      </w:r>
    </w:p>
  </w:footnote>
  <w:footnote w:id="137">
    <w:p w14:paraId="13E96B1A" w14:textId="48AFEE9D" w:rsidR="008E3583" w:rsidRPr="00887B17" w:rsidRDefault="008E3583" w:rsidP="00887B17">
      <w:pPr>
        <w:pStyle w:val="FootnoteText"/>
        <w:rPr>
          <w:rFonts w:cs="Arial"/>
          <w:lang w:val="en-US"/>
        </w:rPr>
      </w:pPr>
      <w:r w:rsidRPr="00887B17">
        <w:rPr>
          <w:rStyle w:val="FootnoteReference"/>
          <w:rFonts w:cs="Arial"/>
        </w:rPr>
        <w:footnoteRef/>
      </w:r>
      <w:r w:rsidRPr="00887B17">
        <w:rPr>
          <w:rFonts w:cs="Arial"/>
        </w:rPr>
        <w:t xml:space="preserve"> </w:t>
      </w:r>
      <w:r w:rsidR="004F3209" w:rsidRPr="00887B17">
        <w:rPr>
          <w:rFonts w:cs="Arial"/>
          <w:lang w:val="en-US"/>
        </w:rPr>
        <w:tab/>
        <w:t>City further affidavit, para</w:t>
      </w:r>
      <w:r w:rsidR="003D6285" w:rsidRPr="00887B17">
        <w:rPr>
          <w:rFonts w:cs="Arial"/>
          <w:lang w:val="en-US"/>
        </w:rPr>
        <w:t xml:space="preserve"> 17-19</w:t>
      </w:r>
      <w:r w:rsidR="007F1BD4" w:rsidRPr="00887B17">
        <w:rPr>
          <w:rFonts w:cs="Arial"/>
          <w:lang w:val="en-US"/>
        </w:rPr>
        <w:t>.</w:t>
      </w:r>
      <w:r w:rsidR="003D6285" w:rsidRPr="00887B17">
        <w:rPr>
          <w:rFonts w:cs="Arial"/>
          <w:lang w:val="en-US"/>
        </w:rPr>
        <w:t xml:space="preserve"> City notices bundle, rec. </w:t>
      </w:r>
      <w:r w:rsidR="00E04ABA" w:rsidRPr="00887B17">
        <w:rPr>
          <w:rFonts w:cs="Arial"/>
          <w:lang w:val="en-US"/>
        </w:rPr>
        <w:t>27-28.</w:t>
      </w:r>
    </w:p>
  </w:footnote>
  <w:footnote w:id="138">
    <w:p w14:paraId="1D7F1ABE" w14:textId="73838570" w:rsidR="00E04ABA" w:rsidRPr="00887B17" w:rsidRDefault="00E04ABA"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lang w:val="en-US"/>
        </w:rPr>
        <w:t>City further affidavit, para</w:t>
      </w:r>
      <w:r w:rsidRPr="00887B17">
        <w:rPr>
          <w:rFonts w:cs="Arial"/>
          <w:lang w:val="en-US"/>
        </w:rPr>
        <w:t xml:space="preserve"> </w:t>
      </w:r>
      <w:r w:rsidR="007F1BD4" w:rsidRPr="00887B17">
        <w:rPr>
          <w:rFonts w:cs="Arial"/>
          <w:lang w:val="en-US"/>
        </w:rPr>
        <w:t xml:space="preserve">24. </w:t>
      </w:r>
      <w:r w:rsidR="007F1BD4" w:rsidRPr="00887B17">
        <w:rPr>
          <w:rFonts w:cs="Arial"/>
          <w:lang w:val="en-US"/>
        </w:rPr>
        <w:t>City notices bundle,</w:t>
      </w:r>
      <w:r w:rsidR="007F1BD4" w:rsidRPr="00887B17">
        <w:rPr>
          <w:rFonts w:cs="Arial"/>
          <w:lang w:val="en-US"/>
        </w:rPr>
        <w:t xml:space="preserve"> rec. 31.</w:t>
      </w:r>
    </w:p>
  </w:footnote>
  <w:footnote w:id="139">
    <w:p w14:paraId="7BD39713" w14:textId="5F096EC0" w:rsidR="00A849D4" w:rsidRPr="00887B17" w:rsidRDefault="00A849D4"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2D0BA4" w:rsidRPr="00887B17">
        <w:rPr>
          <w:rFonts w:cs="Arial"/>
          <w:color w:val="000000" w:themeColor="text1"/>
        </w:rPr>
        <w:tab/>
      </w:r>
      <w:r w:rsidR="002D0BA4" w:rsidRPr="00887B17">
        <w:rPr>
          <w:rFonts w:cs="Arial"/>
          <w:lang w:val="en-US"/>
        </w:rPr>
        <w:t>City further affidavit, para 24. City notices bundle, rec. 31.</w:t>
      </w:r>
    </w:p>
  </w:footnote>
  <w:footnote w:id="140">
    <w:p w14:paraId="7AD0D870" w14:textId="536E816E" w:rsidR="007705BA" w:rsidRPr="00887B17" w:rsidRDefault="007705BA"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lang w:val="en-US"/>
        </w:rPr>
        <w:t>City further affidavit, para 25.1</w:t>
      </w:r>
      <w:r w:rsidR="00BF0457" w:rsidRPr="00887B17">
        <w:rPr>
          <w:rFonts w:cs="Arial"/>
          <w:lang w:val="en-US"/>
        </w:rPr>
        <w:t xml:space="preserve">. </w:t>
      </w:r>
      <w:r w:rsidR="00BF0457" w:rsidRPr="00887B17">
        <w:rPr>
          <w:rFonts w:cs="Arial"/>
          <w:lang w:val="en-US"/>
        </w:rPr>
        <w:t>City notices bundle,</w:t>
      </w:r>
      <w:r w:rsidRPr="00887B17">
        <w:rPr>
          <w:rFonts w:cs="Arial"/>
          <w:lang w:val="en-US"/>
        </w:rPr>
        <w:t xml:space="preserve"> rec. 32.</w:t>
      </w:r>
    </w:p>
  </w:footnote>
  <w:footnote w:id="141">
    <w:p w14:paraId="390C3E31" w14:textId="40A04068" w:rsidR="007705BA" w:rsidRPr="00887B17" w:rsidRDefault="007705BA"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lang w:val="en-US"/>
        </w:rPr>
        <w:t>City further affidavit, para 25.2</w:t>
      </w:r>
      <w:r w:rsidR="00BF0457" w:rsidRPr="00887B17">
        <w:rPr>
          <w:rFonts w:cs="Arial"/>
          <w:lang w:val="en-US"/>
        </w:rPr>
        <w:t xml:space="preserve">. </w:t>
      </w:r>
      <w:r w:rsidR="00BF0457" w:rsidRPr="00887B17">
        <w:rPr>
          <w:rFonts w:cs="Arial"/>
          <w:lang w:val="en-US"/>
        </w:rPr>
        <w:t>City notices bundle,</w:t>
      </w:r>
      <w:r w:rsidRPr="00887B17">
        <w:rPr>
          <w:rFonts w:cs="Arial"/>
          <w:lang w:val="en-US"/>
        </w:rPr>
        <w:t xml:space="preserve"> rec. 32.</w:t>
      </w:r>
    </w:p>
  </w:footnote>
  <w:footnote w:id="142">
    <w:p w14:paraId="25BAC13C" w14:textId="5221EAC2" w:rsidR="007705BA" w:rsidRPr="00887B17" w:rsidRDefault="007705BA"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lang w:val="en-US"/>
        </w:rPr>
        <w:t>City further affidavit, para 25.3</w:t>
      </w:r>
      <w:r w:rsidR="00BF0457" w:rsidRPr="00887B17">
        <w:rPr>
          <w:rFonts w:cs="Arial"/>
          <w:lang w:val="en-US"/>
        </w:rPr>
        <w:t xml:space="preserve">. </w:t>
      </w:r>
      <w:r w:rsidR="00BF0457" w:rsidRPr="00887B17">
        <w:rPr>
          <w:rFonts w:cs="Arial"/>
          <w:lang w:val="en-US"/>
        </w:rPr>
        <w:t>City notices bundle,</w:t>
      </w:r>
      <w:r w:rsidRPr="00887B17">
        <w:rPr>
          <w:rFonts w:cs="Arial"/>
          <w:lang w:val="en-US"/>
        </w:rPr>
        <w:t xml:space="preserve"> rec. 32.</w:t>
      </w:r>
    </w:p>
  </w:footnote>
  <w:footnote w:id="143">
    <w:p w14:paraId="3AA24555" w14:textId="770CBD83" w:rsidR="00892558" w:rsidRPr="00887B17" w:rsidRDefault="00892558"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lang w:val="en-US"/>
        </w:rPr>
        <w:t>City further affidavit, para</w:t>
      </w:r>
      <w:r w:rsidR="00BF0457" w:rsidRPr="00887B17">
        <w:rPr>
          <w:rFonts w:cs="Arial"/>
          <w:lang w:val="en-US"/>
        </w:rPr>
        <w:t xml:space="preserve"> 31</w:t>
      </w:r>
      <w:r w:rsidR="0032213B" w:rsidRPr="00887B17">
        <w:rPr>
          <w:rFonts w:cs="Arial"/>
          <w:lang w:val="en-US"/>
        </w:rPr>
        <w:t>-32</w:t>
      </w:r>
      <w:r w:rsidR="00BF0457" w:rsidRPr="00887B17">
        <w:rPr>
          <w:rFonts w:cs="Arial"/>
          <w:lang w:val="en-US"/>
        </w:rPr>
        <w:t xml:space="preserve">. </w:t>
      </w:r>
      <w:r w:rsidR="00BF0457" w:rsidRPr="00887B17">
        <w:rPr>
          <w:rFonts w:cs="Arial"/>
          <w:lang w:val="en-US"/>
        </w:rPr>
        <w:t>City notices bundle,</w:t>
      </w:r>
      <w:r w:rsidR="00BF0457" w:rsidRPr="00887B17">
        <w:rPr>
          <w:rFonts w:cs="Arial"/>
          <w:lang w:val="en-US"/>
        </w:rPr>
        <w:t xml:space="preserve"> rec. 35.</w:t>
      </w:r>
    </w:p>
  </w:footnote>
  <w:footnote w:id="144">
    <w:p w14:paraId="4AB98D75" w14:textId="77777777" w:rsidR="004A3920" w:rsidRPr="00887B17" w:rsidRDefault="004A3920"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33. City notices bundle, rec. 35-36.</w:t>
      </w:r>
    </w:p>
  </w:footnote>
  <w:footnote w:id="145">
    <w:p w14:paraId="79D5F69F" w14:textId="71D71CE3" w:rsidR="006B657C" w:rsidRPr="00887B17" w:rsidRDefault="006B657C"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3</w:t>
      </w:r>
      <w:r w:rsidR="004216BD" w:rsidRPr="00887B17">
        <w:rPr>
          <w:rFonts w:cs="Arial"/>
          <w:lang w:val="en-US"/>
        </w:rPr>
        <w:t>3</w:t>
      </w:r>
      <w:r w:rsidRPr="00887B17">
        <w:rPr>
          <w:rFonts w:cs="Arial"/>
          <w:lang w:val="en-US"/>
        </w:rPr>
        <w:t>. City notices bundle, rec. 35</w:t>
      </w:r>
      <w:r w:rsidR="004A3920" w:rsidRPr="00887B17">
        <w:rPr>
          <w:rFonts w:cs="Arial"/>
          <w:lang w:val="en-US"/>
        </w:rPr>
        <w:t>-36</w:t>
      </w:r>
      <w:r w:rsidRPr="00887B17">
        <w:rPr>
          <w:rFonts w:cs="Arial"/>
          <w:lang w:val="en-US"/>
        </w:rPr>
        <w:t>.</w:t>
      </w:r>
    </w:p>
  </w:footnote>
  <w:footnote w:id="146">
    <w:p w14:paraId="6819358F" w14:textId="77777777" w:rsidR="005A420E" w:rsidRPr="00887B17" w:rsidRDefault="005A420E"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26. City notices bundle, rec. 32-33.</w:t>
      </w:r>
    </w:p>
  </w:footnote>
  <w:footnote w:id="147">
    <w:p w14:paraId="03FA4142" w14:textId="2AF57195" w:rsidR="005B3A50" w:rsidRPr="00887B17" w:rsidRDefault="005B3A50"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lang w:val="en-US"/>
        </w:rPr>
        <w:t>City further affidavit, para 2</w:t>
      </w:r>
      <w:r w:rsidRPr="00887B17">
        <w:rPr>
          <w:rFonts w:cs="Arial"/>
          <w:lang w:val="en-US"/>
        </w:rPr>
        <w:t>6</w:t>
      </w:r>
      <w:r w:rsidRPr="00887B17">
        <w:rPr>
          <w:rFonts w:cs="Arial"/>
          <w:lang w:val="en-US"/>
        </w:rPr>
        <w:t>. City notices bundle, rec. 3</w:t>
      </w:r>
      <w:r w:rsidRPr="00887B17">
        <w:rPr>
          <w:rFonts w:cs="Arial"/>
          <w:lang w:val="en-US"/>
        </w:rPr>
        <w:t>2-33</w:t>
      </w:r>
      <w:r w:rsidRPr="00887B17">
        <w:rPr>
          <w:rFonts w:cs="Arial"/>
          <w:lang w:val="en-US"/>
        </w:rPr>
        <w:t>.</w:t>
      </w:r>
    </w:p>
  </w:footnote>
  <w:footnote w:id="148">
    <w:p w14:paraId="71FAAD9D" w14:textId="13B09AFC" w:rsidR="009F0E71" w:rsidRPr="00887B17" w:rsidRDefault="009F0E71"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lang w:val="en-US"/>
        </w:rPr>
        <w:t xml:space="preserve">City further affidavit, para </w:t>
      </w:r>
      <w:r w:rsidRPr="00887B17">
        <w:rPr>
          <w:rFonts w:cs="Arial"/>
          <w:lang w:val="en-US"/>
        </w:rPr>
        <w:t>40</w:t>
      </w:r>
      <w:r w:rsidRPr="00887B17">
        <w:rPr>
          <w:rFonts w:cs="Arial"/>
          <w:lang w:val="en-US"/>
        </w:rPr>
        <w:t xml:space="preserve">. City notices bundle, rec. </w:t>
      </w:r>
      <w:r w:rsidR="00951B37" w:rsidRPr="00887B17">
        <w:rPr>
          <w:rFonts w:cs="Arial"/>
          <w:lang w:val="en-US"/>
        </w:rPr>
        <w:t>38.</w:t>
      </w:r>
    </w:p>
  </w:footnote>
  <w:footnote w:id="149">
    <w:p w14:paraId="06524839" w14:textId="77777777" w:rsidR="00951B37" w:rsidRPr="00887B17" w:rsidRDefault="00951B3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40. City notices bundle, rec. 38.</w:t>
      </w:r>
    </w:p>
  </w:footnote>
  <w:footnote w:id="150">
    <w:p w14:paraId="27F340F9" w14:textId="53E1815F" w:rsidR="00951B37" w:rsidRPr="00887B17" w:rsidRDefault="00951B3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40. City notices bundle, rec. 38</w:t>
      </w:r>
      <w:r w:rsidRPr="00887B17">
        <w:rPr>
          <w:rFonts w:cs="Arial"/>
          <w:lang w:val="en-US"/>
        </w:rPr>
        <w:t>-39</w:t>
      </w:r>
      <w:r w:rsidRPr="00887B17">
        <w:rPr>
          <w:rFonts w:cs="Arial"/>
          <w:lang w:val="en-US"/>
        </w:rPr>
        <w:t>.</w:t>
      </w:r>
    </w:p>
  </w:footnote>
  <w:footnote w:id="151">
    <w:p w14:paraId="3DE84C3A" w14:textId="66139D1F" w:rsidR="00150CFD" w:rsidRPr="00887B17" w:rsidRDefault="00150CFD"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4</w:t>
      </w:r>
      <w:r w:rsidRPr="00887B17">
        <w:rPr>
          <w:rFonts w:cs="Arial"/>
          <w:lang w:val="en-US"/>
        </w:rPr>
        <w:t>1</w:t>
      </w:r>
      <w:r w:rsidRPr="00887B17">
        <w:rPr>
          <w:rFonts w:cs="Arial"/>
          <w:lang w:val="en-US"/>
        </w:rPr>
        <w:t>. City notices bundle, rec. 3</w:t>
      </w:r>
      <w:r w:rsidRPr="00887B17">
        <w:rPr>
          <w:rFonts w:cs="Arial"/>
          <w:lang w:val="en-US"/>
        </w:rPr>
        <w:t>9</w:t>
      </w:r>
      <w:r w:rsidRPr="00887B17">
        <w:rPr>
          <w:rFonts w:cs="Arial"/>
          <w:lang w:val="en-US"/>
        </w:rPr>
        <w:t>.</w:t>
      </w:r>
    </w:p>
  </w:footnote>
  <w:footnote w:id="152">
    <w:p w14:paraId="78D020C0" w14:textId="27B0F2DE" w:rsidR="004E7882" w:rsidRPr="00887B17" w:rsidRDefault="004E7882"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9050A9" w:rsidRPr="00887B17">
        <w:rPr>
          <w:rFonts w:cs="Arial"/>
          <w:color w:val="000000" w:themeColor="text1"/>
        </w:rPr>
        <w:tab/>
      </w:r>
      <w:r w:rsidR="009050A9" w:rsidRPr="00887B17">
        <w:rPr>
          <w:rFonts w:cs="Arial"/>
          <w:lang w:val="en-US"/>
        </w:rPr>
        <w:t>City further affidavit, para</w:t>
      </w:r>
      <w:r w:rsidR="009050A9" w:rsidRPr="00887B17">
        <w:rPr>
          <w:rFonts w:cs="Arial"/>
          <w:lang w:val="en-US"/>
        </w:rPr>
        <w:t xml:space="preserve"> 38-39.  </w:t>
      </w:r>
      <w:r w:rsidR="009050A9" w:rsidRPr="00887B17">
        <w:rPr>
          <w:rFonts w:cs="Arial"/>
          <w:lang w:val="en-US"/>
        </w:rPr>
        <w:t>City notices bundle, rec. 3</w:t>
      </w:r>
      <w:r w:rsidR="009050A9" w:rsidRPr="00887B17">
        <w:rPr>
          <w:rFonts w:cs="Arial"/>
          <w:lang w:val="en-US"/>
        </w:rPr>
        <w:t>7-38</w:t>
      </w:r>
      <w:r w:rsidR="009050A9" w:rsidRPr="00887B17">
        <w:rPr>
          <w:rFonts w:cs="Arial"/>
          <w:lang w:val="en-US"/>
        </w:rPr>
        <w:t>.</w:t>
      </w:r>
    </w:p>
  </w:footnote>
  <w:footnote w:id="153">
    <w:p w14:paraId="73EC8EA9" w14:textId="6CFA16C3" w:rsidR="008E2213" w:rsidRPr="00887B17" w:rsidRDefault="008E2213"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BA69B7" w:rsidRPr="00887B17">
        <w:rPr>
          <w:rFonts w:cs="Arial"/>
          <w:color w:val="000000" w:themeColor="text1"/>
        </w:rPr>
        <w:tab/>
      </w:r>
      <w:r w:rsidR="00BA69B7" w:rsidRPr="00887B17">
        <w:rPr>
          <w:rFonts w:cs="Arial"/>
          <w:lang w:val="en-US"/>
        </w:rPr>
        <w:t>City further affidavit, para 4</w:t>
      </w:r>
      <w:r w:rsidR="00FD567F" w:rsidRPr="00887B17">
        <w:rPr>
          <w:rFonts w:cs="Arial"/>
          <w:lang w:val="en-US"/>
        </w:rPr>
        <w:t>3</w:t>
      </w:r>
      <w:r w:rsidR="00BA69B7" w:rsidRPr="00887B17">
        <w:rPr>
          <w:rFonts w:cs="Arial"/>
          <w:lang w:val="en-US"/>
        </w:rPr>
        <w:t xml:space="preserve">. City notices bundle, rec. </w:t>
      </w:r>
      <w:r w:rsidR="00FD567F" w:rsidRPr="00887B17">
        <w:rPr>
          <w:rFonts w:cs="Arial"/>
          <w:lang w:val="en-US"/>
        </w:rPr>
        <w:t>40</w:t>
      </w:r>
      <w:r w:rsidR="00BA69B7" w:rsidRPr="00887B17">
        <w:rPr>
          <w:rFonts w:cs="Arial"/>
          <w:lang w:val="en-US"/>
        </w:rPr>
        <w:t>.</w:t>
      </w:r>
    </w:p>
  </w:footnote>
  <w:footnote w:id="154">
    <w:p w14:paraId="29D9FBB0" w14:textId="0C0625C8" w:rsidR="007055DA" w:rsidRPr="00887B17" w:rsidRDefault="007055DA" w:rsidP="00887B17">
      <w:pPr>
        <w:pStyle w:val="FootnoteText"/>
        <w:rPr>
          <w:rFonts w:cs="Arial"/>
          <w:lang w:val="en-US"/>
        </w:rPr>
      </w:pPr>
      <w:r w:rsidRPr="00887B17">
        <w:rPr>
          <w:rStyle w:val="FootnoteReference"/>
          <w:rFonts w:cs="Arial"/>
        </w:rPr>
        <w:footnoteRef/>
      </w:r>
      <w:r w:rsidRPr="00887B17">
        <w:rPr>
          <w:rFonts w:cs="Arial"/>
        </w:rPr>
        <w:t xml:space="preserve"> </w:t>
      </w:r>
      <w:r w:rsidR="00C172B2" w:rsidRPr="00887B17">
        <w:rPr>
          <w:rFonts w:cs="Arial"/>
          <w:lang w:val="en-US"/>
        </w:rPr>
        <w:tab/>
      </w:r>
      <w:r w:rsidR="00C172B2" w:rsidRPr="00887B17">
        <w:rPr>
          <w:rFonts w:cs="Arial"/>
          <w:lang w:val="en-US"/>
        </w:rPr>
        <w:t xml:space="preserve">City further affidavit, para </w:t>
      </w:r>
      <w:r w:rsidR="00C172B2" w:rsidRPr="00887B17">
        <w:rPr>
          <w:rFonts w:cs="Arial"/>
          <w:lang w:val="en-US"/>
        </w:rPr>
        <w:t>42</w:t>
      </w:r>
      <w:r w:rsidR="00C172B2" w:rsidRPr="00887B17">
        <w:rPr>
          <w:rFonts w:cs="Arial"/>
          <w:lang w:val="en-US"/>
        </w:rPr>
        <w:t xml:space="preserve">. City notices bundle, rec. </w:t>
      </w:r>
      <w:r w:rsidR="00C172B2" w:rsidRPr="00887B17">
        <w:rPr>
          <w:rFonts w:cs="Arial"/>
          <w:lang w:val="en-US"/>
        </w:rPr>
        <w:t>39</w:t>
      </w:r>
      <w:r w:rsidR="00C172B2" w:rsidRPr="00887B17">
        <w:rPr>
          <w:rFonts w:cs="Arial"/>
          <w:lang w:val="en-US"/>
        </w:rPr>
        <w:t>.</w:t>
      </w:r>
    </w:p>
  </w:footnote>
  <w:footnote w:id="155">
    <w:p w14:paraId="77D9D550" w14:textId="6041B69A" w:rsidR="006C047A" w:rsidRPr="00887B17" w:rsidRDefault="006C047A" w:rsidP="00887B17">
      <w:pPr>
        <w:pStyle w:val="FootnoteText"/>
        <w:rPr>
          <w:rFonts w:cs="Arial"/>
          <w:lang w:val="en-US"/>
        </w:rPr>
      </w:pPr>
      <w:r w:rsidRPr="00887B17">
        <w:rPr>
          <w:rStyle w:val="FootnoteReference"/>
          <w:rFonts w:cs="Arial"/>
        </w:rPr>
        <w:footnoteRef/>
      </w:r>
      <w:r w:rsidRPr="00887B17">
        <w:rPr>
          <w:rFonts w:cs="Arial"/>
        </w:rPr>
        <w:t xml:space="preserve"> </w:t>
      </w:r>
      <w:r w:rsidR="004F56EB" w:rsidRPr="00887B17">
        <w:rPr>
          <w:rFonts w:cs="Arial"/>
          <w:lang w:val="en-US"/>
        </w:rPr>
        <w:tab/>
      </w:r>
      <w:r w:rsidR="004F56EB" w:rsidRPr="00887B17">
        <w:rPr>
          <w:rFonts w:cs="Arial"/>
          <w:i/>
          <w:iCs/>
        </w:rPr>
        <w:t>Director of Hospital Services v Mistry</w:t>
      </w:r>
      <w:r w:rsidR="004F56EB" w:rsidRPr="00887B17">
        <w:rPr>
          <w:rFonts w:cs="Arial"/>
        </w:rPr>
        <w:t xml:space="preserve"> 1979 (1) SA 626 (AD) at 635H–636B</w:t>
      </w:r>
      <w:r w:rsidR="004F56EB" w:rsidRPr="00887B17">
        <w:rPr>
          <w:rFonts w:cs="Arial"/>
        </w:rPr>
        <w:t>.</w:t>
      </w:r>
    </w:p>
  </w:footnote>
  <w:footnote w:id="156">
    <w:p w14:paraId="6CFCB343" w14:textId="633B5667" w:rsidR="000946F7" w:rsidRPr="00887B17" w:rsidRDefault="000946F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lang w:val="en-US"/>
        </w:rPr>
        <w:t>City further affidavit, para</w:t>
      </w:r>
      <w:r w:rsidR="00EB6EDC" w:rsidRPr="00887B17">
        <w:rPr>
          <w:rFonts w:cs="Arial"/>
          <w:lang w:val="en-US"/>
        </w:rPr>
        <w:t xml:space="preserve"> 4</w:t>
      </w:r>
      <w:r w:rsidR="00766A54" w:rsidRPr="00887B17">
        <w:rPr>
          <w:rFonts w:cs="Arial"/>
          <w:lang w:val="en-US"/>
        </w:rPr>
        <w:t>5</w:t>
      </w:r>
      <w:r w:rsidR="00EB6EDC" w:rsidRPr="00887B17">
        <w:rPr>
          <w:rFonts w:cs="Arial"/>
          <w:lang w:val="en-US"/>
        </w:rPr>
        <w:t>-48</w:t>
      </w:r>
      <w:r w:rsidR="00103D4C" w:rsidRPr="00887B17">
        <w:rPr>
          <w:rFonts w:cs="Arial"/>
          <w:lang w:val="en-US"/>
        </w:rPr>
        <w:t xml:space="preserve">. </w:t>
      </w:r>
      <w:r w:rsidR="00103D4C" w:rsidRPr="00887B17">
        <w:rPr>
          <w:rFonts w:cs="Arial"/>
          <w:lang w:val="en-US"/>
        </w:rPr>
        <w:t xml:space="preserve">City notices bundle, </w:t>
      </w:r>
      <w:r w:rsidR="00EB6EDC" w:rsidRPr="00887B17">
        <w:rPr>
          <w:rFonts w:cs="Arial"/>
          <w:lang w:val="en-US"/>
        </w:rPr>
        <w:t>rec. 4</w:t>
      </w:r>
      <w:r w:rsidR="00766A54" w:rsidRPr="00887B17">
        <w:rPr>
          <w:rFonts w:cs="Arial"/>
          <w:lang w:val="en-US"/>
        </w:rPr>
        <w:t>0</w:t>
      </w:r>
      <w:r w:rsidR="00EB6EDC" w:rsidRPr="00887B17">
        <w:rPr>
          <w:rFonts w:cs="Arial"/>
          <w:lang w:val="en-US"/>
        </w:rPr>
        <w:t>-42</w:t>
      </w:r>
      <w:r w:rsidR="00103D4C" w:rsidRPr="00887B17">
        <w:rPr>
          <w:rFonts w:cs="Arial"/>
          <w:lang w:val="en-US"/>
        </w:rPr>
        <w:t>.</w:t>
      </w:r>
    </w:p>
  </w:footnote>
  <w:footnote w:id="157">
    <w:p w14:paraId="7D0CBB1B" w14:textId="3063C837" w:rsidR="00DA109C" w:rsidRPr="00887B17" w:rsidRDefault="00DA109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3A0D56" w:rsidRPr="00887B17">
        <w:rPr>
          <w:rFonts w:cs="Arial"/>
          <w:color w:val="000000" w:themeColor="text1"/>
        </w:rPr>
        <w:tab/>
      </w:r>
      <w:r w:rsidR="003A0D56" w:rsidRPr="00887B17">
        <w:rPr>
          <w:rFonts w:cs="Arial"/>
          <w:lang w:val="en-US"/>
        </w:rPr>
        <w:t xml:space="preserve">City further affidavit, para </w:t>
      </w:r>
      <w:r w:rsidR="00DE7550" w:rsidRPr="00887B17">
        <w:rPr>
          <w:rFonts w:cs="Arial"/>
          <w:lang w:val="en-US"/>
        </w:rPr>
        <w:t>49-50</w:t>
      </w:r>
      <w:r w:rsidR="003A0D56" w:rsidRPr="00887B17">
        <w:rPr>
          <w:rFonts w:cs="Arial"/>
          <w:lang w:val="en-US"/>
        </w:rPr>
        <w:t>. City notices bundle, rec. 4</w:t>
      </w:r>
      <w:r w:rsidR="00DE7550" w:rsidRPr="00887B17">
        <w:rPr>
          <w:rFonts w:cs="Arial"/>
          <w:lang w:val="en-US"/>
        </w:rPr>
        <w:t>2</w:t>
      </w:r>
      <w:r w:rsidR="003A0D56" w:rsidRPr="00887B17">
        <w:rPr>
          <w:rFonts w:cs="Arial"/>
          <w:lang w:val="en-US"/>
        </w:rPr>
        <w:t>-4</w:t>
      </w:r>
      <w:r w:rsidR="00DE7550" w:rsidRPr="00887B17">
        <w:rPr>
          <w:rFonts w:cs="Arial"/>
          <w:lang w:val="en-US"/>
        </w:rPr>
        <w:t>3</w:t>
      </w:r>
      <w:r w:rsidR="003A0D56" w:rsidRPr="00887B17">
        <w:rPr>
          <w:rFonts w:cs="Arial"/>
          <w:lang w:val="en-US"/>
        </w:rPr>
        <w:t>.</w:t>
      </w:r>
    </w:p>
  </w:footnote>
  <w:footnote w:id="158">
    <w:p w14:paraId="41AC656A" w14:textId="77777777" w:rsidR="00E900A5" w:rsidRPr="00887B17" w:rsidRDefault="00E900A5"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lang w:val="en-US"/>
        </w:rPr>
        <w:t>City further affidavit, para 45. City notices bundle, rec. 40.</w:t>
      </w:r>
    </w:p>
  </w:footnote>
  <w:footnote w:id="159">
    <w:p w14:paraId="66960BAE" w14:textId="49203F3E" w:rsidR="000173D5" w:rsidRPr="00887B17" w:rsidRDefault="000173D5"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A22581" w:rsidRPr="00887B17">
        <w:rPr>
          <w:rFonts w:cs="Arial"/>
          <w:color w:val="000000" w:themeColor="text1"/>
        </w:rPr>
        <w:tab/>
      </w:r>
      <w:r w:rsidR="00A22581" w:rsidRPr="00887B17">
        <w:rPr>
          <w:rFonts w:cs="Arial"/>
          <w:lang w:val="en-US"/>
        </w:rPr>
        <w:t>City further affidavit, para 4</w:t>
      </w:r>
      <w:r w:rsidR="00A22581" w:rsidRPr="00887B17">
        <w:rPr>
          <w:rFonts w:cs="Arial"/>
          <w:lang w:val="en-US"/>
        </w:rPr>
        <w:t>5</w:t>
      </w:r>
      <w:r w:rsidR="00A22581" w:rsidRPr="00887B17">
        <w:rPr>
          <w:rFonts w:cs="Arial"/>
          <w:lang w:val="en-US"/>
        </w:rPr>
        <w:t>. City notices bundle, rec. 4</w:t>
      </w:r>
      <w:r w:rsidR="00A22581" w:rsidRPr="00887B17">
        <w:rPr>
          <w:rFonts w:cs="Arial"/>
          <w:lang w:val="en-US"/>
        </w:rPr>
        <w:t>0</w:t>
      </w:r>
      <w:r w:rsidR="00A22581" w:rsidRPr="00887B17">
        <w:rPr>
          <w:rFonts w:cs="Arial"/>
          <w:lang w:val="en-US"/>
        </w:rPr>
        <w:t>.</w:t>
      </w:r>
    </w:p>
  </w:footnote>
  <w:footnote w:id="160">
    <w:p w14:paraId="4192472E" w14:textId="77BF0A66" w:rsidR="00CB5A47" w:rsidRPr="00887B17" w:rsidRDefault="00CB5A4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lang w:val="en-US"/>
        </w:rPr>
        <w:t xml:space="preserve">City further affidavit, para </w:t>
      </w:r>
      <w:r w:rsidRPr="00887B17">
        <w:rPr>
          <w:rFonts w:cs="Arial"/>
          <w:lang w:val="en-US"/>
        </w:rPr>
        <w:t>53</w:t>
      </w:r>
      <w:r w:rsidRPr="00887B17">
        <w:rPr>
          <w:rFonts w:cs="Arial"/>
          <w:lang w:val="en-US"/>
        </w:rPr>
        <w:t xml:space="preserve">. City notices bundle, rec. </w:t>
      </w:r>
      <w:r w:rsidRPr="00887B17">
        <w:rPr>
          <w:rFonts w:cs="Arial"/>
          <w:lang w:val="en-US"/>
        </w:rPr>
        <w:t>44</w:t>
      </w:r>
      <w:r w:rsidRPr="00887B17">
        <w:rPr>
          <w:rFonts w:cs="Arial"/>
          <w:lang w:val="en-US"/>
        </w:rPr>
        <w:t>.</w:t>
      </w:r>
    </w:p>
  </w:footnote>
  <w:footnote w:id="161">
    <w:p w14:paraId="6827A53B" w14:textId="77777777" w:rsidR="00CB5A47" w:rsidRPr="00887B17" w:rsidRDefault="00CB5A4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53. City notices bundle, rec. 44.</w:t>
      </w:r>
    </w:p>
  </w:footnote>
  <w:footnote w:id="162">
    <w:p w14:paraId="50EEEBBD" w14:textId="77777777" w:rsidR="009C20A2" w:rsidRPr="00887B17" w:rsidRDefault="009C20A2"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53. City notices bundle, rec. 44.</w:t>
      </w:r>
    </w:p>
  </w:footnote>
  <w:footnote w:id="163">
    <w:p w14:paraId="394846D5" w14:textId="77777777" w:rsidR="009C20A2" w:rsidRPr="00887B17" w:rsidRDefault="009C20A2"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53. City notices bundle, rec. 44.</w:t>
      </w:r>
    </w:p>
  </w:footnote>
  <w:footnote w:id="164">
    <w:p w14:paraId="4D9ED532" w14:textId="77777777" w:rsidR="00F308EB" w:rsidRPr="00887B17" w:rsidRDefault="00F308EB"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53. City notices bundle, rec. 44.</w:t>
      </w:r>
    </w:p>
  </w:footnote>
  <w:footnote w:id="165">
    <w:p w14:paraId="768B6636" w14:textId="15C4FC41" w:rsidR="00F601D9" w:rsidRPr="00887B17" w:rsidRDefault="00F601D9"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5</w:t>
      </w:r>
      <w:r w:rsidRPr="00887B17">
        <w:rPr>
          <w:rFonts w:cs="Arial"/>
          <w:lang w:val="en-US"/>
        </w:rPr>
        <w:t>4</w:t>
      </w:r>
      <w:r w:rsidRPr="00887B17">
        <w:rPr>
          <w:rFonts w:cs="Arial"/>
          <w:lang w:val="en-US"/>
        </w:rPr>
        <w:t>. City notices bundle, rec. 44</w:t>
      </w:r>
      <w:r w:rsidRPr="00887B17">
        <w:rPr>
          <w:rFonts w:cs="Arial"/>
          <w:lang w:val="en-US"/>
        </w:rPr>
        <w:t>-45</w:t>
      </w:r>
      <w:r w:rsidRPr="00887B17">
        <w:rPr>
          <w:rFonts w:cs="Arial"/>
          <w:lang w:val="en-US"/>
        </w:rPr>
        <w:t>.</w:t>
      </w:r>
    </w:p>
  </w:footnote>
  <w:footnote w:id="166">
    <w:p w14:paraId="7CCA2266" w14:textId="652513A0" w:rsidR="00F40813" w:rsidRPr="00887B17" w:rsidRDefault="00F40813"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5</w:t>
      </w:r>
      <w:r w:rsidR="00B65136" w:rsidRPr="00887B17">
        <w:rPr>
          <w:rFonts w:cs="Arial"/>
          <w:lang w:val="en-US"/>
        </w:rPr>
        <w:t>5</w:t>
      </w:r>
      <w:r w:rsidRPr="00887B17">
        <w:rPr>
          <w:rFonts w:cs="Arial"/>
          <w:lang w:val="en-US"/>
        </w:rPr>
        <w:t>. City notices bundle, rec.</w:t>
      </w:r>
      <w:r w:rsidR="00B65136" w:rsidRPr="00887B17">
        <w:rPr>
          <w:rFonts w:cs="Arial"/>
          <w:lang w:val="en-US"/>
        </w:rPr>
        <w:t> </w:t>
      </w:r>
      <w:r w:rsidRPr="00887B17">
        <w:rPr>
          <w:rFonts w:cs="Arial"/>
          <w:lang w:val="en-US"/>
        </w:rPr>
        <w:t>45.</w:t>
      </w:r>
    </w:p>
  </w:footnote>
  <w:footnote w:id="167">
    <w:p w14:paraId="681B1AD6" w14:textId="10D531CD" w:rsidR="0077624A" w:rsidRPr="00887B17" w:rsidRDefault="0077624A" w:rsidP="00887B17">
      <w:pPr>
        <w:pStyle w:val="FootnoteText"/>
        <w:rPr>
          <w:rFonts w:cs="Arial"/>
          <w:lang w:val="en-US"/>
        </w:rPr>
      </w:pPr>
      <w:r w:rsidRPr="00887B17">
        <w:rPr>
          <w:rStyle w:val="FootnoteReference"/>
          <w:rFonts w:cs="Arial"/>
        </w:rPr>
        <w:footnoteRef/>
      </w:r>
      <w:r w:rsidRPr="00887B17">
        <w:rPr>
          <w:rFonts w:cs="Arial"/>
        </w:rPr>
        <w:t xml:space="preserve"> </w:t>
      </w:r>
      <w:r w:rsidR="00251872" w:rsidRPr="00887B17">
        <w:rPr>
          <w:rFonts w:cs="Arial"/>
          <w:lang w:val="en-US"/>
        </w:rPr>
        <w:tab/>
      </w:r>
      <w:r w:rsidR="00251872" w:rsidRPr="00887B17">
        <w:rPr>
          <w:rFonts w:cs="Arial"/>
          <w:lang w:val="en-US"/>
        </w:rPr>
        <w:t>City further affidavit, para 5</w:t>
      </w:r>
      <w:r w:rsidR="00251872" w:rsidRPr="00887B17">
        <w:rPr>
          <w:rFonts w:cs="Arial"/>
          <w:lang w:val="en-US"/>
        </w:rPr>
        <w:t>6</w:t>
      </w:r>
      <w:r w:rsidR="00251872" w:rsidRPr="00887B17">
        <w:rPr>
          <w:rFonts w:cs="Arial"/>
          <w:lang w:val="en-US"/>
        </w:rPr>
        <w:t>. City notices bundle, rec. 45.</w:t>
      </w:r>
    </w:p>
  </w:footnote>
  <w:footnote w:id="168">
    <w:p w14:paraId="74C84E56" w14:textId="7B1866B4" w:rsidR="0005049C" w:rsidRPr="00887B17" w:rsidRDefault="0005049C" w:rsidP="00887B17">
      <w:pPr>
        <w:pStyle w:val="FootnoteText"/>
        <w:rPr>
          <w:rFonts w:cs="Arial"/>
          <w:lang w:val="en-US"/>
        </w:rPr>
      </w:pPr>
      <w:r w:rsidRPr="00887B17">
        <w:rPr>
          <w:rStyle w:val="FootnoteReference"/>
          <w:rFonts w:cs="Arial"/>
        </w:rPr>
        <w:footnoteRef/>
      </w:r>
      <w:r w:rsidRPr="00887B17">
        <w:rPr>
          <w:rFonts w:cs="Arial"/>
        </w:rPr>
        <w:t xml:space="preserve"> </w:t>
      </w:r>
      <w:r w:rsidR="00C43F75" w:rsidRPr="00887B17">
        <w:rPr>
          <w:rFonts w:cs="Arial"/>
          <w:lang w:val="en-US"/>
        </w:rPr>
        <w:tab/>
        <w:t xml:space="preserve">City AA para </w:t>
      </w:r>
      <w:r w:rsidR="00D333DA" w:rsidRPr="00887B17">
        <w:rPr>
          <w:rFonts w:cs="Arial"/>
          <w:lang w:val="en-US"/>
        </w:rPr>
        <w:t>81-</w:t>
      </w:r>
      <w:r w:rsidR="00C0027A" w:rsidRPr="00887B17">
        <w:rPr>
          <w:rFonts w:cs="Arial"/>
          <w:lang w:val="en-US"/>
        </w:rPr>
        <w:t xml:space="preserve">83, rec. 505-506; City SAA para </w:t>
      </w:r>
      <w:r w:rsidR="009078AF" w:rsidRPr="00887B17">
        <w:rPr>
          <w:rFonts w:cs="Arial"/>
          <w:lang w:val="en-US"/>
        </w:rPr>
        <w:t>40, rec.</w:t>
      </w:r>
      <w:r w:rsidR="006A4674" w:rsidRPr="00887B17">
        <w:rPr>
          <w:rFonts w:cs="Arial"/>
          <w:lang w:val="en-US"/>
        </w:rPr>
        <w:t xml:space="preserve"> </w:t>
      </w:r>
      <w:r w:rsidR="009078AF" w:rsidRPr="00887B17">
        <w:rPr>
          <w:rFonts w:cs="Arial"/>
          <w:lang w:val="en-US"/>
        </w:rPr>
        <w:t>648</w:t>
      </w:r>
      <w:r w:rsidR="006A4674" w:rsidRPr="00887B17">
        <w:rPr>
          <w:rFonts w:cs="Arial"/>
          <w:lang w:val="en-US"/>
        </w:rPr>
        <w:t>.</w:t>
      </w:r>
    </w:p>
  </w:footnote>
  <w:footnote w:id="169">
    <w:p w14:paraId="35C330EB" w14:textId="7F0C66E3" w:rsidR="00B13D73" w:rsidRPr="00887B17" w:rsidRDefault="00B13D73"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i/>
          <w:iCs/>
          <w:color w:val="000000" w:themeColor="text1"/>
          <w:lang w:val="en-US"/>
        </w:rPr>
        <w:t xml:space="preserve">City of Cape Town v Various Occupiers </w:t>
      </w:r>
      <w:r w:rsidRPr="00887B17">
        <w:rPr>
          <w:rFonts w:cs="Arial"/>
          <w:color w:val="000000" w:themeColor="text1"/>
          <w:lang w:val="en-US"/>
        </w:rPr>
        <w:t>2024 (5) SA 407 (WCC)</w:t>
      </w:r>
      <w:r w:rsidRPr="00887B17">
        <w:rPr>
          <w:rFonts w:cs="Arial"/>
          <w:color w:val="000000" w:themeColor="text1"/>
          <w:lang w:val="en-US"/>
        </w:rPr>
        <w:t xml:space="preserve">, para </w:t>
      </w:r>
      <w:r w:rsidRPr="00887B17">
        <w:rPr>
          <w:rFonts w:cs="Arial"/>
          <w:color w:val="000000" w:themeColor="text1"/>
          <w:lang w:val="en-US"/>
        </w:rPr>
        <w:t>35</w:t>
      </w:r>
      <w:r w:rsidRPr="00887B17">
        <w:rPr>
          <w:rFonts w:cs="Arial"/>
          <w:color w:val="000000" w:themeColor="text1"/>
          <w:lang w:val="en-US"/>
        </w:rPr>
        <w:t>.</w:t>
      </w:r>
    </w:p>
  </w:footnote>
  <w:footnote w:id="170">
    <w:p w14:paraId="2E4865F8" w14:textId="24E67EE1" w:rsidR="009F7326" w:rsidRPr="00887B17" w:rsidRDefault="009F7326"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D521BA" w:rsidRPr="00887B17">
        <w:rPr>
          <w:rFonts w:cs="Arial"/>
          <w:color w:val="000000" w:themeColor="text1"/>
        </w:rPr>
        <w:tab/>
      </w:r>
      <w:r w:rsidRPr="00887B17">
        <w:rPr>
          <w:rFonts w:cs="Arial"/>
          <w:color w:val="000000" w:themeColor="text1"/>
        </w:rPr>
        <w:t>City AA para 82</w:t>
      </w:r>
      <w:r w:rsidR="00E10658" w:rsidRPr="00887B17">
        <w:rPr>
          <w:rFonts w:cs="Arial"/>
          <w:color w:val="000000" w:themeColor="text1"/>
        </w:rPr>
        <w:t>-83</w:t>
      </w:r>
      <w:r w:rsidRPr="00887B17">
        <w:rPr>
          <w:rFonts w:cs="Arial"/>
          <w:color w:val="000000" w:themeColor="text1"/>
        </w:rPr>
        <w:t>, rec. 505</w:t>
      </w:r>
      <w:r w:rsidR="00E10658" w:rsidRPr="00887B17">
        <w:rPr>
          <w:rFonts w:cs="Arial"/>
          <w:color w:val="000000" w:themeColor="text1"/>
        </w:rPr>
        <w:t>-506</w:t>
      </w:r>
      <w:r w:rsidRPr="00887B17">
        <w:rPr>
          <w:rFonts w:cs="Arial"/>
          <w:color w:val="000000" w:themeColor="text1"/>
        </w:rPr>
        <w:t>.</w:t>
      </w:r>
    </w:p>
  </w:footnote>
  <w:footnote w:id="171">
    <w:p w14:paraId="2DC9FBB6" w14:textId="60A18F92" w:rsidR="009569DC" w:rsidRPr="00887B17" w:rsidRDefault="009569DC"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SAA para</w:t>
      </w:r>
      <w:r w:rsidR="002C047B" w:rsidRPr="00887B17">
        <w:rPr>
          <w:rFonts w:cs="Arial"/>
          <w:lang w:val="en-US"/>
        </w:rPr>
        <w:t xml:space="preserve"> </w:t>
      </w:r>
      <w:r w:rsidR="00F96F6D" w:rsidRPr="00887B17">
        <w:rPr>
          <w:rFonts w:cs="Arial"/>
          <w:lang w:val="en-US"/>
        </w:rPr>
        <w:t xml:space="preserve">39-40, rec. 648; </w:t>
      </w:r>
      <w:r w:rsidRPr="00887B17">
        <w:rPr>
          <w:rFonts w:cs="Arial"/>
          <w:lang w:val="en-US"/>
        </w:rPr>
        <w:t xml:space="preserve">Al-Habsy para 17, rec. </w:t>
      </w:r>
      <w:r w:rsidR="00FE3B9C" w:rsidRPr="00887B17">
        <w:rPr>
          <w:rFonts w:cs="Arial"/>
          <w:lang w:val="en-US"/>
        </w:rPr>
        <w:t>595.</w:t>
      </w:r>
    </w:p>
  </w:footnote>
  <w:footnote w:id="172">
    <w:p w14:paraId="3E58945F" w14:textId="29B6747A" w:rsidR="001148DA" w:rsidRPr="00887B17" w:rsidRDefault="001148DA"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00A01905" w:rsidRPr="00887B17">
        <w:rPr>
          <w:rFonts w:cs="Arial"/>
          <w:lang w:val="en-US"/>
        </w:rPr>
        <w:t xml:space="preserve">RA para </w:t>
      </w:r>
      <w:r w:rsidR="00A32E69" w:rsidRPr="00887B17">
        <w:rPr>
          <w:rFonts w:cs="Arial"/>
          <w:lang w:val="en-US"/>
        </w:rPr>
        <w:t xml:space="preserve">65, </w:t>
      </w:r>
      <w:r w:rsidR="009F4615" w:rsidRPr="00887B17">
        <w:rPr>
          <w:rFonts w:cs="Arial"/>
          <w:lang w:val="en-US"/>
        </w:rPr>
        <w:t>67-68, rec. 710-711.</w:t>
      </w:r>
    </w:p>
  </w:footnote>
  <w:footnote w:id="173">
    <w:p w14:paraId="757E990D" w14:textId="77777777" w:rsidR="00B45BBD" w:rsidRPr="00887B17" w:rsidRDefault="00B45BBD"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SAA para 78, rec. 666; See RA para 177-179, rec. 734-735 where the City’s averments in para 78 are not placed in issue.</w:t>
      </w:r>
    </w:p>
  </w:footnote>
  <w:footnote w:id="174">
    <w:p w14:paraId="5EB55D59" w14:textId="77777777" w:rsidR="00E76DE7" w:rsidRPr="00887B17" w:rsidRDefault="00E76DE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Transnet HoA para 71-73.</w:t>
      </w:r>
    </w:p>
  </w:footnote>
  <w:footnote w:id="175">
    <w:p w14:paraId="1564E465" w14:textId="4D26077E" w:rsidR="00394FE6" w:rsidRPr="00887B17" w:rsidRDefault="00394FE6"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SAA para 41, rec. 648</w:t>
      </w:r>
    </w:p>
  </w:footnote>
  <w:footnote w:id="176">
    <w:p w14:paraId="06CE8A51" w14:textId="3E12517C" w:rsidR="00706F18" w:rsidRPr="00887B17" w:rsidRDefault="00706F18" w:rsidP="00887B17">
      <w:pPr>
        <w:pStyle w:val="FootnoteText"/>
        <w:rPr>
          <w:rFonts w:cs="Arial"/>
          <w:lang w:val="en-US"/>
        </w:rPr>
      </w:pPr>
      <w:r w:rsidRPr="00887B17">
        <w:rPr>
          <w:rStyle w:val="FootnoteReference"/>
          <w:rFonts w:cs="Arial"/>
        </w:rPr>
        <w:footnoteRef/>
      </w:r>
      <w:r w:rsidRPr="00887B17">
        <w:rPr>
          <w:rFonts w:cs="Arial"/>
        </w:rPr>
        <w:t xml:space="preserve"> </w:t>
      </w:r>
      <w:r w:rsidR="002902A2" w:rsidRPr="00887B17">
        <w:rPr>
          <w:rFonts w:cs="Arial"/>
          <w:lang w:val="en-US"/>
        </w:rPr>
        <w:tab/>
        <w:t xml:space="preserve">City further affidavit, para </w:t>
      </w:r>
      <w:r w:rsidR="00D071F8" w:rsidRPr="00887B17">
        <w:rPr>
          <w:rFonts w:cs="Arial"/>
          <w:lang w:val="en-US"/>
        </w:rPr>
        <w:t>56</w:t>
      </w:r>
      <w:r w:rsidR="0011695B" w:rsidRPr="00887B17">
        <w:rPr>
          <w:rFonts w:cs="Arial"/>
          <w:lang w:val="en-US"/>
        </w:rPr>
        <w:t>,</w:t>
      </w:r>
      <w:r w:rsidR="00ED0DC4" w:rsidRPr="00887B17">
        <w:rPr>
          <w:rFonts w:cs="Arial"/>
          <w:lang w:val="en-US"/>
        </w:rPr>
        <w:t xml:space="preserve"> City notices bundle, </w:t>
      </w:r>
      <w:r w:rsidR="00D071F8" w:rsidRPr="00887B17">
        <w:rPr>
          <w:rFonts w:cs="Arial"/>
          <w:lang w:val="en-US"/>
        </w:rPr>
        <w:t>rec.</w:t>
      </w:r>
      <w:r w:rsidR="00ED0DC4" w:rsidRPr="00887B17">
        <w:rPr>
          <w:rFonts w:cs="Arial"/>
          <w:lang w:val="en-US"/>
        </w:rPr>
        <w:t xml:space="preserve"> 45-46;</w:t>
      </w:r>
      <w:r w:rsidR="00D071F8" w:rsidRPr="00887B17">
        <w:rPr>
          <w:rFonts w:cs="Arial"/>
          <w:lang w:val="en-US"/>
        </w:rPr>
        <w:t xml:space="preserve"> para 60</w:t>
      </w:r>
      <w:r w:rsidR="00ED0DC4" w:rsidRPr="00887B17">
        <w:rPr>
          <w:rFonts w:cs="Arial"/>
          <w:lang w:val="en-US"/>
        </w:rPr>
        <w:t xml:space="preserve">, </w:t>
      </w:r>
      <w:r w:rsidR="00ED0DC4" w:rsidRPr="00887B17">
        <w:rPr>
          <w:rFonts w:cs="Arial"/>
          <w:lang w:val="en-US"/>
        </w:rPr>
        <w:t>City notices bundle</w:t>
      </w:r>
      <w:r w:rsidR="00ED0DC4" w:rsidRPr="00887B17">
        <w:rPr>
          <w:rFonts w:cs="Arial"/>
          <w:lang w:val="en-US"/>
        </w:rPr>
        <w:t xml:space="preserve"> rec. 47.</w:t>
      </w:r>
    </w:p>
  </w:footnote>
  <w:footnote w:id="177">
    <w:p w14:paraId="08C66B9A" w14:textId="07BA4E36" w:rsidR="00D65B71" w:rsidRPr="00887B17" w:rsidRDefault="00D65B71" w:rsidP="00887B17">
      <w:pPr>
        <w:pStyle w:val="FootnoteText"/>
        <w:rPr>
          <w:rFonts w:cs="Arial"/>
          <w:lang w:val="en-US"/>
        </w:rPr>
      </w:pPr>
      <w:r w:rsidRPr="00887B17">
        <w:rPr>
          <w:rStyle w:val="FootnoteReference"/>
          <w:rFonts w:cs="Arial"/>
        </w:rPr>
        <w:footnoteRef/>
      </w:r>
      <w:r w:rsidRPr="00887B17">
        <w:rPr>
          <w:rFonts w:cs="Arial"/>
        </w:rPr>
        <w:t xml:space="preserve"> </w:t>
      </w:r>
      <w:r w:rsidR="0011695B" w:rsidRPr="00887B17">
        <w:rPr>
          <w:rFonts w:cs="Arial"/>
          <w:lang w:val="en-US"/>
        </w:rPr>
        <w:tab/>
      </w:r>
      <w:r w:rsidR="0011695B" w:rsidRPr="00887B17">
        <w:rPr>
          <w:rFonts w:cs="Arial"/>
          <w:lang w:val="en-US"/>
        </w:rPr>
        <w:t>City further affidavit, para 5</w:t>
      </w:r>
      <w:r w:rsidR="0011695B" w:rsidRPr="00887B17">
        <w:rPr>
          <w:rFonts w:cs="Arial"/>
          <w:lang w:val="en-US"/>
        </w:rPr>
        <w:t>9,</w:t>
      </w:r>
      <w:r w:rsidR="0011695B" w:rsidRPr="00887B17">
        <w:rPr>
          <w:rFonts w:cs="Arial"/>
          <w:lang w:val="en-US"/>
        </w:rPr>
        <w:t xml:space="preserve"> City notices bundle, rec.</w:t>
      </w:r>
      <w:r w:rsidR="0011695B" w:rsidRPr="00887B17">
        <w:rPr>
          <w:rFonts w:cs="Arial"/>
          <w:lang w:val="en-US"/>
        </w:rPr>
        <w:t xml:space="preserve"> 47.</w:t>
      </w:r>
    </w:p>
  </w:footnote>
  <w:footnote w:id="178">
    <w:p w14:paraId="35619C78" w14:textId="77777777" w:rsidR="00C201AF" w:rsidRPr="00887B17" w:rsidRDefault="00C201AF"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59, City notices bundle, rec. 47.</w:t>
      </w:r>
    </w:p>
  </w:footnote>
  <w:footnote w:id="179">
    <w:p w14:paraId="5F87FE9A" w14:textId="77777777" w:rsidR="000E7C57" w:rsidRPr="00887B17" w:rsidRDefault="000E7C5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59, City notices bundle, rec. 47.</w:t>
      </w:r>
    </w:p>
  </w:footnote>
  <w:footnote w:id="180">
    <w:p w14:paraId="01C7E5A7" w14:textId="1443A0A8" w:rsidR="007345CE" w:rsidRPr="00887B17" w:rsidRDefault="007345CE"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5</w:t>
      </w:r>
      <w:r w:rsidRPr="00887B17">
        <w:rPr>
          <w:rFonts w:cs="Arial"/>
          <w:lang w:val="en-US"/>
        </w:rPr>
        <w:t>7</w:t>
      </w:r>
      <w:r w:rsidRPr="00887B17">
        <w:rPr>
          <w:rFonts w:cs="Arial"/>
          <w:lang w:val="en-US"/>
        </w:rPr>
        <w:t>, City notices bundle, rec. 4</w:t>
      </w:r>
      <w:r w:rsidRPr="00887B17">
        <w:rPr>
          <w:rFonts w:cs="Arial"/>
          <w:lang w:val="en-US"/>
        </w:rPr>
        <w:t>6</w:t>
      </w:r>
      <w:r w:rsidRPr="00887B17">
        <w:rPr>
          <w:rFonts w:cs="Arial"/>
          <w:lang w:val="en-US"/>
        </w:rPr>
        <w:t>.</w:t>
      </w:r>
    </w:p>
  </w:footnote>
  <w:footnote w:id="181">
    <w:p w14:paraId="7D579777" w14:textId="77777777" w:rsidR="003F4E87" w:rsidRPr="00887B17" w:rsidRDefault="003F4E87"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City further affidavit, para 57, City notices bundle, rec. 46.</w:t>
      </w:r>
    </w:p>
  </w:footnote>
  <w:footnote w:id="182">
    <w:p w14:paraId="15053C19" w14:textId="77777777" w:rsidR="00F66101" w:rsidRPr="00080ABD" w:rsidRDefault="00F66101" w:rsidP="00F66101">
      <w:pPr>
        <w:pStyle w:val="FootnoteText"/>
        <w:rPr>
          <w:lang w:val="en-US"/>
        </w:rPr>
      </w:pPr>
      <w:r>
        <w:rPr>
          <w:rStyle w:val="FootnoteReference"/>
        </w:rPr>
        <w:footnoteRef/>
      </w:r>
      <w:r>
        <w:t xml:space="preserve"> </w:t>
      </w:r>
      <w:r>
        <w:rPr>
          <w:lang w:val="en-US"/>
        </w:rPr>
        <w:tab/>
      </w:r>
      <w:r w:rsidRPr="00025F76">
        <w:rPr>
          <w:i/>
          <w:iCs/>
        </w:rPr>
        <w:t>Absa Bank Ltd v Hammerle Group</w:t>
      </w:r>
      <w:r>
        <w:t xml:space="preserve"> 2015 (5) SA 215 (SCA),  para 13.</w:t>
      </w:r>
    </w:p>
  </w:footnote>
  <w:footnote w:id="183">
    <w:p w14:paraId="404D3EAE" w14:textId="586FA3F3" w:rsidR="00060C27" w:rsidRPr="00887B17" w:rsidRDefault="00060C27" w:rsidP="00060C2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1E75E6">
        <w:rPr>
          <w:rFonts w:cs="Arial"/>
          <w:color w:val="000000" w:themeColor="text1"/>
        </w:rPr>
        <w:tab/>
      </w:r>
      <w:r w:rsidRPr="00887B17">
        <w:rPr>
          <w:rFonts w:cs="Arial"/>
          <w:color w:val="000000" w:themeColor="text1"/>
          <w:lang w:val="en-US"/>
        </w:rPr>
        <w:t xml:space="preserve">City </w:t>
      </w:r>
      <w:r w:rsidR="001E75E6">
        <w:rPr>
          <w:rFonts w:cs="Arial"/>
          <w:color w:val="000000" w:themeColor="text1"/>
          <w:lang w:val="en-US"/>
        </w:rPr>
        <w:t>f</w:t>
      </w:r>
      <w:r w:rsidRPr="00887B17">
        <w:rPr>
          <w:rFonts w:cs="Arial"/>
          <w:color w:val="000000" w:themeColor="text1"/>
          <w:lang w:val="en-US"/>
        </w:rPr>
        <w:t xml:space="preserve">urther </w:t>
      </w:r>
      <w:r w:rsidR="001E75E6">
        <w:rPr>
          <w:rFonts w:cs="Arial"/>
          <w:color w:val="000000" w:themeColor="text1"/>
          <w:lang w:val="en-US"/>
        </w:rPr>
        <w:t>a</w:t>
      </w:r>
      <w:r w:rsidRPr="00887B17">
        <w:rPr>
          <w:rFonts w:cs="Arial"/>
          <w:color w:val="000000" w:themeColor="text1"/>
          <w:lang w:val="en-US"/>
        </w:rPr>
        <w:t>ffidavit, para 6</w:t>
      </w:r>
      <w:r w:rsidR="00D410B8">
        <w:rPr>
          <w:rFonts w:cs="Arial"/>
          <w:color w:val="000000" w:themeColor="text1"/>
          <w:lang w:val="en-US"/>
        </w:rPr>
        <w:t>2</w:t>
      </w:r>
      <w:r w:rsidRPr="00887B17">
        <w:rPr>
          <w:rFonts w:cs="Arial"/>
          <w:color w:val="000000" w:themeColor="text1"/>
          <w:lang w:val="en-US"/>
        </w:rPr>
        <w:t xml:space="preserve">, </w:t>
      </w:r>
      <w:r w:rsidR="00D410B8">
        <w:rPr>
          <w:rFonts w:cs="Arial"/>
          <w:color w:val="000000" w:themeColor="text1"/>
          <w:lang w:val="en-US"/>
        </w:rPr>
        <w:t>City notices bundle, rec. 48.</w:t>
      </w:r>
    </w:p>
  </w:footnote>
  <w:footnote w:id="184">
    <w:p w14:paraId="6E6A632A" w14:textId="6147A656" w:rsidR="00060C27" w:rsidRPr="00887B17" w:rsidRDefault="00060C27" w:rsidP="00060C2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792E66">
        <w:rPr>
          <w:rFonts w:cs="Arial"/>
          <w:color w:val="000000" w:themeColor="text1"/>
        </w:rPr>
        <w:tab/>
      </w:r>
      <w:r w:rsidR="00792E66" w:rsidRPr="00887B17">
        <w:rPr>
          <w:rFonts w:cs="Arial"/>
          <w:color w:val="000000" w:themeColor="text1"/>
          <w:lang w:val="en-US"/>
        </w:rPr>
        <w:t xml:space="preserve">City </w:t>
      </w:r>
      <w:r w:rsidR="00792E66">
        <w:rPr>
          <w:rFonts w:cs="Arial"/>
          <w:color w:val="000000" w:themeColor="text1"/>
          <w:lang w:val="en-US"/>
        </w:rPr>
        <w:t>f</w:t>
      </w:r>
      <w:r w:rsidR="00792E66" w:rsidRPr="00887B17">
        <w:rPr>
          <w:rFonts w:cs="Arial"/>
          <w:color w:val="000000" w:themeColor="text1"/>
          <w:lang w:val="en-US"/>
        </w:rPr>
        <w:t xml:space="preserve">urther </w:t>
      </w:r>
      <w:r w:rsidR="00792E66">
        <w:rPr>
          <w:rFonts w:cs="Arial"/>
          <w:color w:val="000000" w:themeColor="text1"/>
          <w:lang w:val="en-US"/>
        </w:rPr>
        <w:t>a</w:t>
      </w:r>
      <w:r w:rsidR="00792E66" w:rsidRPr="00887B17">
        <w:rPr>
          <w:rFonts w:cs="Arial"/>
          <w:color w:val="000000" w:themeColor="text1"/>
          <w:lang w:val="en-US"/>
        </w:rPr>
        <w:t>ffidavit, para 6</w:t>
      </w:r>
      <w:r w:rsidR="00792E66">
        <w:rPr>
          <w:rFonts w:cs="Arial"/>
          <w:color w:val="000000" w:themeColor="text1"/>
          <w:lang w:val="en-US"/>
        </w:rPr>
        <w:t>3</w:t>
      </w:r>
      <w:r w:rsidR="00792E66" w:rsidRPr="00887B17">
        <w:rPr>
          <w:rFonts w:cs="Arial"/>
          <w:color w:val="000000" w:themeColor="text1"/>
          <w:lang w:val="en-US"/>
        </w:rPr>
        <w:t xml:space="preserve">, </w:t>
      </w:r>
      <w:r w:rsidR="00792E66">
        <w:rPr>
          <w:rFonts w:cs="Arial"/>
          <w:color w:val="000000" w:themeColor="text1"/>
          <w:lang w:val="en-US"/>
        </w:rPr>
        <w:t>City notices bundle, rec. 48</w:t>
      </w:r>
      <w:r w:rsidR="00792E66">
        <w:rPr>
          <w:rFonts w:cs="Arial"/>
          <w:color w:val="000000" w:themeColor="text1"/>
          <w:lang w:val="en-US"/>
        </w:rPr>
        <w:t>-49</w:t>
      </w:r>
      <w:r w:rsidR="00792E66">
        <w:rPr>
          <w:rFonts w:cs="Arial"/>
          <w:color w:val="000000" w:themeColor="text1"/>
          <w:lang w:val="en-US"/>
        </w:rPr>
        <w:t>.</w:t>
      </w:r>
    </w:p>
  </w:footnote>
  <w:footnote w:id="185">
    <w:p w14:paraId="026B26D1" w14:textId="193AF92B" w:rsidR="00060C27" w:rsidRPr="00887B17" w:rsidRDefault="00060C27" w:rsidP="00060C2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E211BE">
        <w:rPr>
          <w:rFonts w:cs="Arial"/>
          <w:color w:val="000000" w:themeColor="text1"/>
        </w:rPr>
        <w:tab/>
      </w:r>
      <w:r w:rsidR="00E211BE" w:rsidRPr="00887B17">
        <w:rPr>
          <w:rFonts w:cs="Arial"/>
          <w:color w:val="000000" w:themeColor="text1"/>
          <w:lang w:val="en-US"/>
        </w:rPr>
        <w:t xml:space="preserve">City </w:t>
      </w:r>
      <w:r w:rsidR="00E211BE">
        <w:rPr>
          <w:rFonts w:cs="Arial"/>
          <w:color w:val="000000" w:themeColor="text1"/>
          <w:lang w:val="en-US"/>
        </w:rPr>
        <w:t>f</w:t>
      </w:r>
      <w:r w:rsidR="00E211BE" w:rsidRPr="00887B17">
        <w:rPr>
          <w:rFonts w:cs="Arial"/>
          <w:color w:val="000000" w:themeColor="text1"/>
          <w:lang w:val="en-US"/>
        </w:rPr>
        <w:t xml:space="preserve">urther </w:t>
      </w:r>
      <w:r w:rsidR="00E211BE">
        <w:rPr>
          <w:rFonts w:cs="Arial"/>
          <w:color w:val="000000" w:themeColor="text1"/>
          <w:lang w:val="en-US"/>
        </w:rPr>
        <w:t>a</w:t>
      </w:r>
      <w:r w:rsidR="00E211BE" w:rsidRPr="00887B17">
        <w:rPr>
          <w:rFonts w:cs="Arial"/>
          <w:color w:val="000000" w:themeColor="text1"/>
          <w:lang w:val="en-US"/>
        </w:rPr>
        <w:t>ffidavit, para 6</w:t>
      </w:r>
      <w:r w:rsidR="00E211BE">
        <w:rPr>
          <w:rFonts w:cs="Arial"/>
          <w:color w:val="000000" w:themeColor="text1"/>
          <w:lang w:val="en-US"/>
        </w:rPr>
        <w:t>4</w:t>
      </w:r>
      <w:r w:rsidR="00E211BE" w:rsidRPr="00887B17">
        <w:rPr>
          <w:rFonts w:cs="Arial"/>
          <w:color w:val="000000" w:themeColor="text1"/>
          <w:lang w:val="en-US"/>
        </w:rPr>
        <w:t xml:space="preserve">, </w:t>
      </w:r>
      <w:r w:rsidR="00E211BE">
        <w:rPr>
          <w:rFonts w:cs="Arial"/>
          <w:color w:val="000000" w:themeColor="text1"/>
          <w:lang w:val="en-US"/>
        </w:rPr>
        <w:t>City notices bundle, rec. 49.</w:t>
      </w:r>
    </w:p>
  </w:footnote>
  <w:footnote w:id="186">
    <w:p w14:paraId="63BCCA69" w14:textId="31466D8C" w:rsidR="00060C27" w:rsidRPr="00887B17" w:rsidRDefault="00060C27" w:rsidP="00060C2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AE1DFF">
        <w:rPr>
          <w:rFonts w:cs="Arial"/>
          <w:color w:val="000000" w:themeColor="text1"/>
        </w:rPr>
        <w:tab/>
      </w:r>
      <w:r w:rsidRPr="00887B17">
        <w:rPr>
          <w:rFonts w:cs="Arial"/>
          <w:color w:val="000000" w:themeColor="text1"/>
        </w:rPr>
        <w:t>RA, para 79, rec.</w:t>
      </w:r>
      <w:r w:rsidR="00A947DD">
        <w:rPr>
          <w:rFonts w:cs="Arial"/>
          <w:color w:val="000000" w:themeColor="text1"/>
        </w:rPr>
        <w:t>715.</w:t>
      </w:r>
    </w:p>
  </w:footnote>
  <w:footnote w:id="187">
    <w:p w14:paraId="63303380" w14:textId="492AF29A" w:rsidR="00D44DA5" w:rsidRPr="00887B17" w:rsidRDefault="00D44DA5" w:rsidP="00887B17">
      <w:pPr>
        <w:pStyle w:val="FootnoteText"/>
        <w:rPr>
          <w:rFonts w:cs="Arial"/>
          <w:lang w:val="en-US"/>
        </w:rPr>
      </w:pPr>
      <w:r w:rsidRPr="00887B17">
        <w:rPr>
          <w:rStyle w:val="FootnoteReference"/>
          <w:rFonts w:cs="Arial"/>
        </w:rPr>
        <w:footnoteRef/>
      </w:r>
      <w:r w:rsidRPr="00887B17">
        <w:rPr>
          <w:rFonts w:cs="Arial"/>
        </w:rPr>
        <w:t xml:space="preserve"> </w:t>
      </w:r>
      <w:r w:rsidR="00BD0A8F" w:rsidRPr="00887B17">
        <w:rPr>
          <w:rFonts w:cs="Arial"/>
          <w:lang w:val="en-US"/>
        </w:rPr>
        <w:tab/>
        <w:t>Al-Habsy, para 20</w:t>
      </w:r>
      <w:r w:rsidR="00EE64A8" w:rsidRPr="00887B17">
        <w:rPr>
          <w:rFonts w:cs="Arial"/>
          <w:lang w:val="en-US"/>
        </w:rPr>
        <w:t>.1, rec. 595.</w:t>
      </w:r>
    </w:p>
  </w:footnote>
  <w:footnote w:id="188">
    <w:p w14:paraId="1ABFED4E" w14:textId="321C0503" w:rsidR="00C638FC" w:rsidRPr="00887B17" w:rsidRDefault="00C638F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 xml:space="preserve">City SAA para 46, rec. 654 – 655. </w:t>
      </w:r>
    </w:p>
  </w:footnote>
  <w:footnote w:id="189">
    <w:p w14:paraId="177B0834" w14:textId="76497CA3" w:rsidR="00C638FC" w:rsidRPr="00887B17" w:rsidRDefault="00C638F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 xml:space="preserve">City SAA para 43, rec. 651-652. </w:t>
      </w:r>
    </w:p>
  </w:footnote>
  <w:footnote w:id="190">
    <w:p w14:paraId="6B3FFD95" w14:textId="77777777" w:rsidR="00C7699E" w:rsidRPr="00887B17" w:rsidRDefault="00C7699E"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Al-Habsy para 20.5, rec. 596.</w:t>
      </w:r>
    </w:p>
  </w:footnote>
  <w:footnote w:id="191">
    <w:p w14:paraId="4664333C" w14:textId="37E4D9C4" w:rsidR="00C7699E" w:rsidRPr="00887B17" w:rsidRDefault="00C7699E" w:rsidP="00887B17">
      <w:pPr>
        <w:pStyle w:val="FootnoteText"/>
        <w:rPr>
          <w:rFonts w:cs="Arial"/>
          <w:lang w:val="en-US"/>
        </w:rPr>
      </w:pPr>
      <w:r w:rsidRPr="00887B17">
        <w:rPr>
          <w:rStyle w:val="FootnoteReference"/>
          <w:rFonts w:cs="Arial"/>
        </w:rPr>
        <w:footnoteRef/>
      </w:r>
      <w:r w:rsidRPr="00887B17">
        <w:rPr>
          <w:rFonts w:cs="Arial"/>
        </w:rPr>
        <w:t xml:space="preserve"> </w:t>
      </w:r>
      <w:r w:rsidR="008F5F67" w:rsidRPr="00887B17">
        <w:rPr>
          <w:rFonts w:cs="Arial"/>
          <w:lang w:val="en-US"/>
        </w:rPr>
        <w:tab/>
        <w:t>RA para 79, rec. 715.</w:t>
      </w:r>
    </w:p>
  </w:footnote>
  <w:footnote w:id="192">
    <w:p w14:paraId="397FAD49" w14:textId="231ED3FB" w:rsidR="00C638FC" w:rsidRPr="00887B17" w:rsidRDefault="00C638FC"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City SAA para 50, rec.</w:t>
      </w:r>
      <w:r w:rsidR="002D496E" w:rsidRPr="00887B17">
        <w:rPr>
          <w:rFonts w:cs="Arial"/>
          <w:color w:val="000000" w:themeColor="text1"/>
          <w:lang w:val="en-US"/>
        </w:rPr>
        <w:t xml:space="preserve"> 656.</w:t>
      </w:r>
    </w:p>
  </w:footnote>
  <w:footnote w:id="193">
    <w:p w14:paraId="4F7D2D0A" w14:textId="3E0594D6" w:rsidR="003A7510" w:rsidRPr="00887B17" w:rsidRDefault="003A7510"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i/>
          <w:iCs/>
          <w:color w:val="000000" w:themeColor="text1"/>
          <w:lang w:val="en-US"/>
        </w:rPr>
        <w:t>Commando</w:t>
      </w:r>
      <w:r w:rsidR="008B5836">
        <w:rPr>
          <w:rFonts w:cs="Arial"/>
          <w:color w:val="000000" w:themeColor="text1"/>
          <w:lang w:val="en-US"/>
        </w:rPr>
        <w:t xml:space="preserve"> </w:t>
      </w:r>
      <w:r w:rsidR="008B5836" w:rsidRPr="008B5836">
        <w:rPr>
          <w:rFonts w:cs="Arial"/>
          <w:i/>
          <w:iCs/>
          <w:color w:val="000000" w:themeColor="text1"/>
          <w:lang w:val="en-US"/>
        </w:rPr>
        <w:t>(</w:t>
      </w:r>
      <w:r w:rsidR="008B5836">
        <w:rPr>
          <w:rFonts w:cs="Arial"/>
          <w:i/>
          <w:iCs/>
          <w:color w:val="000000" w:themeColor="text1"/>
          <w:lang w:val="en-US"/>
        </w:rPr>
        <w:t>supra</w:t>
      </w:r>
      <w:r w:rsidR="008B5836" w:rsidRPr="008B5836">
        <w:rPr>
          <w:rFonts w:cs="Arial"/>
          <w:i/>
          <w:iCs/>
          <w:color w:val="000000" w:themeColor="text1"/>
          <w:lang w:val="en-US"/>
        </w:rPr>
        <w:t>)</w:t>
      </w:r>
      <w:r w:rsidRPr="00887B17">
        <w:rPr>
          <w:rFonts w:cs="Arial"/>
          <w:color w:val="000000" w:themeColor="text1"/>
          <w:lang w:val="en-US"/>
        </w:rPr>
        <w:t>, para 72</w:t>
      </w:r>
      <w:r w:rsidR="00AD2903" w:rsidRPr="00887B17">
        <w:rPr>
          <w:rFonts w:cs="Arial"/>
          <w:color w:val="000000" w:themeColor="text1"/>
          <w:lang w:val="en-US"/>
        </w:rPr>
        <w:t xml:space="preserve"> and </w:t>
      </w:r>
      <w:r w:rsidR="00FA1A25" w:rsidRPr="00887B17">
        <w:rPr>
          <w:rFonts w:cs="Arial"/>
          <w:color w:val="000000" w:themeColor="text1"/>
          <w:lang w:val="en-US"/>
        </w:rPr>
        <w:t>para 85</w:t>
      </w:r>
      <w:r w:rsidR="00AD2903" w:rsidRPr="00887B17">
        <w:rPr>
          <w:rFonts w:cs="Arial"/>
          <w:color w:val="000000" w:themeColor="text1"/>
          <w:lang w:val="en-US"/>
        </w:rPr>
        <w:t xml:space="preserve">; </w:t>
      </w:r>
      <w:r w:rsidR="00AD2903" w:rsidRPr="00887B17">
        <w:rPr>
          <w:rFonts w:cs="Arial"/>
          <w:i/>
          <w:iCs/>
          <w:color w:val="000000" w:themeColor="text1"/>
          <w:lang w:val="en-US"/>
        </w:rPr>
        <w:t>Joe Slovo (supra)</w:t>
      </w:r>
      <w:r w:rsidR="00AD2903" w:rsidRPr="00887B17">
        <w:rPr>
          <w:rFonts w:cs="Arial"/>
          <w:color w:val="000000" w:themeColor="text1"/>
          <w:lang w:val="en-US"/>
        </w:rPr>
        <w:t xml:space="preserve"> para 254.</w:t>
      </w:r>
    </w:p>
  </w:footnote>
  <w:footnote w:id="194">
    <w:p w14:paraId="43FDC81E" w14:textId="2017BE2C" w:rsidR="009761D5" w:rsidRPr="00887B17" w:rsidRDefault="009761D5"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i/>
          <w:iCs/>
          <w:color w:val="000000" w:themeColor="text1"/>
          <w:lang w:val="en-US"/>
        </w:rPr>
        <w:t>Commando</w:t>
      </w:r>
      <w:r w:rsidRPr="00887B17">
        <w:rPr>
          <w:rFonts w:cs="Arial"/>
          <w:color w:val="000000" w:themeColor="text1"/>
          <w:lang w:val="en-US"/>
        </w:rPr>
        <w:t>, para 7</w:t>
      </w:r>
      <w:r w:rsidR="00786AB8" w:rsidRPr="00887B17">
        <w:rPr>
          <w:rFonts w:cs="Arial"/>
          <w:color w:val="000000" w:themeColor="text1"/>
          <w:lang w:val="en-US"/>
        </w:rPr>
        <w:t xml:space="preserve">6; </w:t>
      </w:r>
      <w:r w:rsidR="00786AB8" w:rsidRPr="00887B17">
        <w:rPr>
          <w:rFonts w:cs="Arial"/>
          <w:i/>
          <w:iCs/>
          <w:color w:val="000000" w:themeColor="text1"/>
          <w:lang w:val="en-US"/>
        </w:rPr>
        <w:t>Olivia Road (supra)</w:t>
      </w:r>
      <w:r w:rsidR="00786AB8" w:rsidRPr="00887B17">
        <w:rPr>
          <w:rFonts w:cs="Arial"/>
          <w:color w:val="000000" w:themeColor="text1"/>
          <w:lang w:val="en-US"/>
        </w:rPr>
        <w:t xml:space="preserve"> para </w:t>
      </w:r>
      <w:r w:rsidR="0027232F" w:rsidRPr="00887B17">
        <w:rPr>
          <w:rFonts w:cs="Arial"/>
          <w:color w:val="000000" w:themeColor="text1"/>
          <w:lang w:val="en-US"/>
        </w:rPr>
        <w:t>13.</w:t>
      </w:r>
    </w:p>
  </w:footnote>
  <w:footnote w:id="195">
    <w:p w14:paraId="3D00AF11" w14:textId="6FF96F75" w:rsidR="00670BD4" w:rsidRPr="00887B17" w:rsidRDefault="00670BD4" w:rsidP="00887B17">
      <w:pPr>
        <w:pStyle w:val="FootnoteText"/>
        <w:rPr>
          <w:rFonts w:cs="Arial"/>
          <w:lang w:val="en-US"/>
        </w:rPr>
      </w:pPr>
      <w:r w:rsidRPr="00887B17">
        <w:rPr>
          <w:rStyle w:val="FootnoteReference"/>
          <w:rFonts w:cs="Arial"/>
        </w:rPr>
        <w:footnoteRef/>
      </w:r>
      <w:r w:rsidRPr="00887B17">
        <w:rPr>
          <w:rFonts w:cs="Arial"/>
        </w:rPr>
        <w:t xml:space="preserve"> </w:t>
      </w:r>
      <w:r w:rsidR="00033640" w:rsidRPr="00887B17">
        <w:rPr>
          <w:rFonts w:cs="Arial"/>
          <w:lang w:val="en-US"/>
        </w:rPr>
        <w:tab/>
      </w:r>
      <w:r w:rsidR="00033640" w:rsidRPr="00887B17">
        <w:rPr>
          <w:rFonts w:cs="Arial"/>
          <w:i/>
          <w:iCs/>
          <w:color w:val="000000" w:themeColor="text1"/>
          <w:lang w:val="en-US"/>
        </w:rPr>
        <w:t>Commando</w:t>
      </w:r>
      <w:r w:rsidR="00033640" w:rsidRPr="00887B17">
        <w:rPr>
          <w:rFonts w:cs="Arial"/>
          <w:color w:val="000000" w:themeColor="text1"/>
          <w:lang w:val="en-US"/>
        </w:rPr>
        <w:t xml:space="preserve">, para </w:t>
      </w:r>
      <w:r w:rsidR="00033640" w:rsidRPr="00887B17">
        <w:rPr>
          <w:rFonts w:cs="Arial"/>
          <w:color w:val="000000" w:themeColor="text1"/>
          <w:lang w:val="en-US"/>
        </w:rPr>
        <w:t>92.</w:t>
      </w:r>
    </w:p>
  </w:footnote>
  <w:footnote w:id="196">
    <w:p w14:paraId="39A6D45C" w14:textId="2B0B6DA1" w:rsidR="00D756ED" w:rsidRPr="00887B17" w:rsidRDefault="00D756ED"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Pr="00887B17">
        <w:rPr>
          <w:rFonts w:cs="Arial"/>
          <w:i/>
          <w:iCs/>
          <w:color w:val="000000" w:themeColor="text1"/>
          <w:lang w:val="en-US"/>
        </w:rPr>
        <w:t>Commando</w:t>
      </w:r>
      <w:r w:rsidRPr="00887B17">
        <w:rPr>
          <w:rFonts w:cs="Arial"/>
          <w:color w:val="000000" w:themeColor="text1"/>
          <w:lang w:val="en-US"/>
        </w:rPr>
        <w:t>, para</w:t>
      </w:r>
      <w:r w:rsidR="00444F10" w:rsidRPr="00887B17">
        <w:rPr>
          <w:rFonts w:cs="Arial"/>
          <w:color w:val="000000" w:themeColor="text1"/>
          <w:lang w:val="en-US"/>
        </w:rPr>
        <w:t xml:space="preserve"> 101-103.</w:t>
      </w:r>
    </w:p>
  </w:footnote>
  <w:footnote w:id="197">
    <w:p w14:paraId="23CD70B5" w14:textId="1F0A3885" w:rsidR="00D14A42" w:rsidRPr="00887B17" w:rsidRDefault="00D14A42"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7C2DB6" w:rsidRPr="00887B17">
        <w:rPr>
          <w:rFonts w:cs="Arial"/>
          <w:color w:val="000000" w:themeColor="text1"/>
          <w:lang w:val="en-US"/>
        </w:rPr>
        <w:tab/>
      </w:r>
      <w:r w:rsidRPr="00887B17">
        <w:rPr>
          <w:rFonts w:cs="Arial"/>
          <w:color w:val="000000" w:themeColor="text1"/>
          <w:lang w:val="en-US"/>
        </w:rPr>
        <w:t>RA</w:t>
      </w:r>
      <w:r w:rsidR="007C2DB6" w:rsidRPr="00887B17">
        <w:rPr>
          <w:rFonts w:cs="Arial"/>
          <w:color w:val="000000" w:themeColor="text1"/>
          <w:lang w:val="en-US"/>
        </w:rPr>
        <w:t xml:space="preserve"> </w:t>
      </w:r>
      <w:r w:rsidRPr="00887B17">
        <w:rPr>
          <w:rFonts w:cs="Arial"/>
          <w:color w:val="000000" w:themeColor="text1"/>
          <w:lang w:val="en-US"/>
        </w:rPr>
        <w:t>para 59–63, rec. 709–710</w:t>
      </w:r>
      <w:r w:rsidR="007C2DB6" w:rsidRPr="00887B17">
        <w:rPr>
          <w:rFonts w:cs="Arial"/>
          <w:color w:val="000000" w:themeColor="text1"/>
          <w:lang w:val="en-US"/>
        </w:rPr>
        <w:t xml:space="preserve">; Al-Habsy </w:t>
      </w:r>
      <w:r w:rsidRPr="00887B17">
        <w:rPr>
          <w:rFonts w:cs="Arial"/>
          <w:color w:val="000000" w:themeColor="text1"/>
          <w:lang w:val="en-US"/>
        </w:rPr>
        <w:t>para 68, rec. 607</w:t>
      </w:r>
      <w:r w:rsidR="007C2DB6" w:rsidRPr="00887B17">
        <w:rPr>
          <w:rFonts w:cs="Arial"/>
          <w:color w:val="000000" w:themeColor="text1"/>
          <w:lang w:val="en-US"/>
        </w:rPr>
        <w:t>.</w:t>
      </w:r>
    </w:p>
  </w:footnote>
  <w:footnote w:id="198">
    <w:p w14:paraId="448941C7" w14:textId="3C556229" w:rsidR="00DD1F62" w:rsidRPr="00887B17" w:rsidRDefault="00DD1F62" w:rsidP="00887B17">
      <w:pPr>
        <w:pStyle w:val="FootnoteText"/>
        <w:rPr>
          <w:rFonts w:cs="Arial"/>
          <w:lang w:val="en-US"/>
        </w:rPr>
      </w:pPr>
      <w:r w:rsidRPr="00887B17">
        <w:rPr>
          <w:rStyle w:val="FootnoteReference"/>
          <w:rFonts w:cs="Arial"/>
        </w:rPr>
        <w:footnoteRef/>
      </w:r>
      <w:r w:rsidRPr="00887B17">
        <w:rPr>
          <w:rFonts w:cs="Arial"/>
        </w:rPr>
        <w:t xml:space="preserve"> </w:t>
      </w:r>
      <w:r w:rsidR="00180E98" w:rsidRPr="00887B17">
        <w:rPr>
          <w:rFonts w:cs="Arial"/>
          <w:lang w:val="en-US"/>
        </w:rPr>
        <w:tab/>
      </w:r>
      <w:r w:rsidR="00180E98" w:rsidRPr="00887B17">
        <w:rPr>
          <w:rFonts w:cs="Arial"/>
          <w:i/>
          <w:iCs/>
          <w:color w:val="000000" w:themeColor="text1"/>
          <w:lang w:val="en-US"/>
        </w:rPr>
        <w:t xml:space="preserve">Chapelgate </w:t>
      </w:r>
      <w:r w:rsidR="005478B8" w:rsidRPr="00887B17">
        <w:rPr>
          <w:rFonts w:cs="Arial"/>
          <w:i/>
          <w:iCs/>
          <w:color w:val="000000" w:themeColor="text1"/>
          <w:lang w:val="en-US"/>
        </w:rPr>
        <w:t>Properties</w:t>
      </w:r>
      <w:r w:rsidR="00180E98" w:rsidRPr="00887B17">
        <w:rPr>
          <w:rFonts w:cs="Arial"/>
          <w:i/>
          <w:iCs/>
          <w:color w:val="000000" w:themeColor="text1"/>
          <w:lang w:val="en-US"/>
        </w:rPr>
        <w:t xml:space="preserve"> 1022 CC v Unlawful Occupiers of Erf 644 Kew and Another </w:t>
      </w:r>
      <w:r w:rsidR="00180E98" w:rsidRPr="00887B17">
        <w:rPr>
          <w:rFonts w:cs="Arial"/>
          <w:color w:val="000000" w:themeColor="text1"/>
          <w:lang w:val="en-US"/>
        </w:rPr>
        <w:t>2017 (1) SA 403 (GJ)</w:t>
      </w:r>
      <w:r w:rsidR="00180E98" w:rsidRPr="00887B17">
        <w:rPr>
          <w:rFonts w:cs="Arial"/>
          <w:color w:val="000000" w:themeColor="text1"/>
          <w:lang w:val="en-US"/>
        </w:rPr>
        <w:t>.</w:t>
      </w:r>
    </w:p>
  </w:footnote>
  <w:footnote w:id="199">
    <w:p w14:paraId="6D49E647" w14:textId="46E2880C" w:rsidR="007A426F" w:rsidRPr="00887B17" w:rsidRDefault="007A426F"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r>
      <w:r w:rsidR="002803AB" w:rsidRPr="00887B17">
        <w:rPr>
          <w:rFonts w:cs="Arial"/>
          <w:lang w:val="en-US"/>
        </w:rPr>
        <w:t>EHP para 2.4.</w:t>
      </w:r>
    </w:p>
  </w:footnote>
  <w:footnote w:id="200">
    <w:p w14:paraId="1FCB1185" w14:textId="345F23F1" w:rsidR="00FC5B92" w:rsidRPr="00887B17" w:rsidRDefault="00FC5B92"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EHP para 2.</w:t>
      </w:r>
      <w:r w:rsidRPr="00887B17">
        <w:rPr>
          <w:rFonts w:cs="Arial"/>
          <w:lang w:val="en-US"/>
        </w:rPr>
        <w:t>13</w:t>
      </w:r>
      <w:r w:rsidRPr="00887B17">
        <w:rPr>
          <w:rFonts w:cs="Arial"/>
          <w:lang w:val="en-US"/>
        </w:rPr>
        <w:t>.</w:t>
      </w:r>
      <w:r w:rsidRPr="00887B17">
        <w:rPr>
          <w:rFonts w:cs="Arial"/>
          <w:lang w:val="en-US"/>
        </w:rPr>
        <w:t>4</w:t>
      </w:r>
      <w:r w:rsidR="00164502" w:rsidRPr="00887B17">
        <w:rPr>
          <w:rFonts w:cs="Arial"/>
          <w:lang w:val="en-US"/>
        </w:rPr>
        <w:t>.</w:t>
      </w:r>
    </w:p>
  </w:footnote>
  <w:footnote w:id="201">
    <w:p w14:paraId="12D4C39D" w14:textId="71FA1760" w:rsidR="00164502" w:rsidRPr="00887B17" w:rsidRDefault="00164502"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EHP para </w:t>
      </w:r>
      <w:r w:rsidR="0031222E" w:rsidRPr="00887B17">
        <w:rPr>
          <w:rFonts w:cs="Arial"/>
          <w:lang w:val="en-US"/>
        </w:rPr>
        <w:t>3.3</w:t>
      </w:r>
      <w:r w:rsidRPr="00887B17">
        <w:rPr>
          <w:rFonts w:cs="Arial"/>
          <w:lang w:val="en-US"/>
        </w:rPr>
        <w:t>.</w:t>
      </w:r>
    </w:p>
  </w:footnote>
  <w:footnote w:id="202">
    <w:p w14:paraId="29BE68E3" w14:textId="793D32F6" w:rsidR="0031222E" w:rsidRPr="00887B17" w:rsidRDefault="0031222E"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 xml:space="preserve">EHP </w:t>
      </w:r>
      <w:r w:rsidR="00AE588C" w:rsidRPr="00887B17">
        <w:rPr>
          <w:rFonts w:cs="Arial"/>
          <w:lang w:val="en-US"/>
        </w:rPr>
        <w:t>Annexure D, step 1 and step 5</w:t>
      </w:r>
      <w:r w:rsidRPr="00887B17">
        <w:rPr>
          <w:rFonts w:cs="Arial"/>
          <w:lang w:val="en-US"/>
        </w:rPr>
        <w:t>.</w:t>
      </w:r>
    </w:p>
  </w:footnote>
  <w:footnote w:id="203">
    <w:p w14:paraId="589A04AB" w14:textId="6FFAD026" w:rsidR="002410A0" w:rsidRPr="00887B17" w:rsidRDefault="002410A0" w:rsidP="00887B17">
      <w:pPr>
        <w:pStyle w:val="FootnoteText"/>
        <w:rPr>
          <w:rFonts w:cs="Arial"/>
          <w:lang w:val="en-US"/>
        </w:rPr>
      </w:pPr>
      <w:r w:rsidRPr="00887B17">
        <w:rPr>
          <w:rStyle w:val="FootnoteReference"/>
          <w:rFonts w:cs="Arial"/>
        </w:rPr>
        <w:footnoteRef/>
      </w:r>
      <w:r w:rsidRPr="00887B17">
        <w:rPr>
          <w:rFonts w:cs="Arial"/>
        </w:rPr>
        <w:t xml:space="preserve"> </w:t>
      </w:r>
      <w:r w:rsidRPr="00887B17">
        <w:rPr>
          <w:rFonts w:cs="Arial"/>
          <w:lang w:val="en-US"/>
        </w:rPr>
        <w:tab/>
        <w:t>Section 32 of the Immigration Act, read with s</w:t>
      </w:r>
      <w:r w:rsidR="005C5CD1" w:rsidRPr="00887B17">
        <w:rPr>
          <w:rFonts w:cs="Arial"/>
          <w:lang w:val="en-US"/>
        </w:rPr>
        <w:t> 9.</w:t>
      </w:r>
      <w:r w:rsidR="00640BB5" w:rsidRPr="00887B17">
        <w:rPr>
          <w:rFonts w:cs="Arial"/>
          <w:lang w:val="en-US"/>
        </w:rPr>
        <w:t xml:space="preserve">  </w:t>
      </w:r>
      <w:r w:rsidR="00640BB5" w:rsidRPr="00887B17">
        <w:rPr>
          <w:rFonts w:eastAsia="Arial Unicode MS" w:cs="Arial"/>
          <w:color w:val="000000" w:themeColor="text1"/>
        </w:rPr>
        <w:t>Section</w:t>
      </w:r>
      <w:r w:rsidR="00640BB5" w:rsidRPr="00887B17">
        <w:rPr>
          <w:rFonts w:eastAsia="Arial Unicode MS" w:cs="Arial"/>
          <w:color w:val="000000" w:themeColor="text1"/>
        </w:rPr>
        <w:t xml:space="preserve"> 32 provides that </w:t>
      </w:r>
      <w:r w:rsidR="00640BB5" w:rsidRPr="00887B17">
        <w:rPr>
          <w:rFonts w:eastAsia="Arial Unicode MS" w:cs="Arial"/>
          <w:i/>
          <w:iCs/>
          <w:color w:val="000000" w:themeColor="text1"/>
        </w:rPr>
        <w:t>‘</w:t>
      </w:r>
      <w:r w:rsidR="00640BB5" w:rsidRPr="00887B17">
        <w:rPr>
          <w:rFonts w:eastAsia="Arial Unicode MS" w:cs="Arial"/>
          <w:i/>
          <w:iCs/>
          <w:color w:val="000000" w:themeColor="text1"/>
        </w:rPr>
        <w:t>a</w:t>
      </w:r>
      <w:r w:rsidR="00640BB5" w:rsidRPr="00887B17">
        <w:rPr>
          <w:rFonts w:cs="Arial"/>
          <w:i/>
          <w:iCs/>
          <w:color w:val="000000" w:themeColor="text1"/>
          <w:lang w:val="en-GB" w:eastAsia="en-US"/>
        </w:rPr>
        <w:t>ny illegal foreigner shall depart, unless authorised by the Director General in the prescribed manner to remain in the Republic pending his or her application for a status</w:t>
      </w:r>
      <w:r w:rsidR="00640BB5" w:rsidRPr="00887B17">
        <w:rPr>
          <w:rFonts w:cs="Arial"/>
          <w:i/>
          <w:iCs/>
          <w:color w:val="000000" w:themeColor="text1"/>
          <w:lang w:val="en-GB" w:eastAsia="en-US"/>
        </w:rPr>
        <w:t>’</w:t>
      </w:r>
      <w:r w:rsidR="00262444" w:rsidRPr="00887B17">
        <w:rPr>
          <w:rFonts w:cs="Arial"/>
          <w:color w:val="000000" w:themeColor="text1"/>
          <w:lang w:val="en-GB" w:eastAsia="en-US"/>
        </w:rPr>
        <w:t xml:space="preserve"> and </w:t>
      </w:r>
      <w:r w:rsidR="00262444" w:rsidRPr="00887B17">
        <w:rPr>
          <w:rFonts w:cs="Arial"/>
          <w:i/>
          <w:iCs/>
          <w:color w:val="000000" w:themeColor="text1"/>
          <w:lang w:val="en-GB" w:eastAsia="en-US"/>
        </w:rPr>
        <w:t>‘status’</w:t>
      </w:r>
      <w:r w:rsidR="00262444" w:rsidRPr="00887B17">
        <w:rPr>
          <w:rFonts w:cs="Arial"/>
          <w:color w:val="000000" w:themeColor="text1"/>
          <w:lang w:val="en-GB" w:eastAsia="en-US"/>
        </w:rPr>
        <w:t xml:space="preserve"> </w:t>
      </w:r>
      <w:r w:rsidR="00262444" w:rsidRPr="00887B17">
        <w:rPr>
          <w:rStyle w:val="ssparacontent"/>
          <w:rFonts w:cs="Arial"/>
        </w:rPr>
        <w:t xml:space="preserve">means </w:t>
      </w:r>
      <w:r w:rsidR="00262444" w:rsidRPr="00887B17">
        <w:rPr>
          <w:rStyle w:val="ssparacontent"/>
          <w:rFonts w:cs="Arial"/>
          <w:i/>
          <w:iCs/>
        </w:rPr>
        <w:t>‘</w:t>
      </w:r>
      <w:r w:rsidR="00262444" w:rsidRPr="00887B17">
        <w:rPr>
          <w:rStyle w:val="ssparacontent"/>
          <w:rFonts w:cs="Arial"/>
          <w:i/>
          <w:iCs/>
        </w:rPr>
        <w:t xml:space="preserve">the status of the person as determined by the relevant visa or permanent residence permit granted to a person in terms of </w:t>
      </w:r>
      <w:r w:rsidR="00262444" w:rsidRPr="00887B17">
        <w:rPr>
          <w:rStyle w:val="ssparacontent"/>
          <w:rFonts w:cs="Arial"/>
          <w:i/>
          <w:iCs/>
        </w:rPr>
        <w:t>[</w:t>
      </w:r>
      <w:r w:rsidR="00262444" w:rsidRPr="00887B17">
        <w:rPr>
          <w:rStyle w:val="ssparacontent"/>
          <w:rFonts w:cs="Arial"/>
          <w:i/>
          <w:iCs/>
        </w:rPr>
        <w:t>th</w:t>
      </w:r>
      <w:r w:rsidR="00262444" w:rsidRPr="00887B17">
        <w:rPr>
          <w:rStyle w:val="ssparacontent"/>
          <w:rFonts w:cs="Arial"/>
          <w:i/>
          <w:iCs/>
        </w:rPr>
        <w:t>e Immigration]</w:t>
      </w:r>
      <w:r w:rsidR="00262444" w:rsidRPr="00887B17">
        <w:rPr>
          <w:rStyle w:val="ssparacontent"/>
          <w:rFonts w:cs="Arial"/>
          <w:i/>
          <w:iCs/>
        </w:rPr>
        <w:t xml:space="preserve"> Act</w:t>
      </w:r>
      <w:r w:rsidR="00262444" w:rsidRPr="00887B17">
        <w:rPr>
          <w:rStyle w:val="ssparacontent"/>
          <w:rFonts w:cs="Arial"/>
          <w:i/>
          <w:iCs/>
        </w:rPr>
        <w:t>’</w:t>
      </w:r>
      <w:r w:rsidR="00262444" w:rsidRPr="00887B17">
        <w:rPr>
          <w:rStyle w:val="ssparacontent"/>
          <w:rFonts w:cs="Arial"/>
        </w:rPr>
        <w:t>.</w:t>
      </w:r>
    </w:p>
  </w:footnote>
  <w:footnote w:id="204">
    <w:p w14:paraId="3E6BBD75" w14:textId="709D5568" w:rsidR="006669A9" w:rsidRPr="00887B17" w:rsidRDefault="006669A9" w:rsidP="00887B17">
      <w:pPr>
        <w:pStyle w:val="FootnoteText"/>
        <w:rPr>
          <w:rFonts w:cs="Arial"/>
          <w:lang w:val="en-US"/>
        </w:rPr>
      </w:pPr>
      <w:r w:rsidRPr="00887B17">
        <w:rPr>
          <w:rStyle w:val="FootnoteReference"/>
          <w:rFonts w:cs="Arial"/>
        </w:rPr>
        <w:footnoteRef/>
      </w:r>
      <w:r w:rsidRPr="00887B17">
        <w:rPr>
          <w:rFonts w:cs="Arial"/>
        </w:rPr>
        <w:t xml:space="preserve"> </w:t>
      </w:r>
      <w:r w:rsidR="00DA0B81" w:rsidRPr="00887B17">
        <w:rPr>
          <w:rFonts w:cs="Arial"/>
          <w:lang w:val="en-US"/>
        </w:rPr>
        <w:tab/>
      </w:r>
      <w:r w:rsidR="00BD7D5D" w:rsidRPr="00887B17">
        <w:rPr>
          <w:rFonts w:cs="Arial"/>
          <w:lang w:val="en-US"/>
        </w:rPr>
        <w:t xml:space="preserve">Section 23 of the Immigration Act </w:t>
      </w:r>
      <w:r w:rsidR="00ED7FB1" w:rsidRPr="00887B17">
        <w:rPr>
          <w:rFonts w:cs="Arial"/>
          <w:lang w:val="en-US"/>
        </w:rPr>
        <w:t xml:space="preserve">read with the relevant provisions of the Refugees Act 130 of </w:t>
      </w:r>
      <w:r w:rsidR="000861DE" w:rsidRPr="00887B17">
        <w:rPr>
          <w:rFonts w:cs="Arial"/>
          <w:lang w:val="en-US"/>
        </w:rPr>
        <w:t xml:space="preserve">1998 and the regulations thereto.  </w:t>
      </w:r>
    </w:p>
  </w:footnote>
  <w:footnote w:id="205">
    <w:p w14:paraId="5DA1A948" w14:textId="77777777" w:rsidR="00D13396" w:rsidRPr="00887B17" w:rsidRDefault="00D13396" w:rsidP="00D13396">
      <w:pPr>
        <w:pStyle w:val="FootnoteText"/>
        <w:rPr>
          <w:rFonts w:cs="Arial"/>
          <w:lang w:val="en-US"/>
        </w:rPr>
      </w:pPr>
      <w:r w:rsidRPr="00887B17">
        <w:rPr>
          <w:rStyle w:val="FootnoteReference"/>
          <w:rFonts w:cs="Arial"/>
        </w:rPr>
        <w:footnoteRef/>
      </w:r>
      <w:r w:rsidRPr="00887B17">
        <w:rPr>
          <w:rFonts w:cs="Arial"/>
        </w:rPr>
        <w:t xml:space="preserve"> </w:t>
      </w:r>
      <w:r w:rsidRPr="00887B17">
        <w:rPr>
          <w:rFonts w:eastAsia="Arial Unicode MS" w:cs="Arial"/>
          <w:color w:val="000000" w:themeColor="text1"/>
          <w:lang w:val="en-GB"/>
        </w:rPr>
        <w:t>An ‘</w:t>
      </w:r>
      <w:r w:rsidRPr="00887B17">
        <w:rPr>
          <w:rFonts w:eastAsia="Arial Unicode MS" w:cs="Arial"/>
          <w:i/>
          <w:iCs/>
          <w:color w:val="000000" w:themeColor="text1"/>
          <w:lang w:val="en-GB"/>
        </w:rPr>
        <w:t>illegal foreigner’,</w:t>
      </w:r>
      <w:r w:rsidRPr="00887B17">
        <w:rPr>
          <w:rFonts w:eastAsia="Arial Unicode MS" w:cs="Arial"/>
          <w:color w:val="000000" w:themeColor="text1"/>
          <w:lang w:val="en-GB"/>
        </w:rPr>
        <w:t xml:space="preserve"> is required to submit an application for authorisation to remain in the country and once the authorisation application is processed, and if authorisation to remain in the country is granted they are issued with a document substantially in accordance with Form 20 which provides that the holder </w:t>
      </w:r>
      <w:r w:rsidRPr="00887B17">
        <w:rPr>
          <w:rFonts w:cs="Arial"/>
          <w:color w:val="000000" w:themeColor="text1"/>
          <w:lang w:val="en-GB"/>
        </w:rPr>
        <w:t>may temporarily reside in the country, in a specific magisterial district, pending the outcome of their application for status</w:t>
      </w:r>
      <w:r w:rsidRPr="00887B17">
        <w:rPr>
          <w:rFonts w:eastAsia="Arial Unicode MS" w:cs="Arial"/>
          <w:color w:val="000000" w:themeColor="text1"/>
          <w:lang w:val="en-GB"/>
        </w:rPr>
        <w:t xml:space="preserve"> and they are then then entitled to submit an application for status.</w:t>
      </w:r>
    </w:p>
  </w:footnote>
  <w:footnote w:id="206">
    <w:p w14:paraId="7A58B5C5" w14:textId="3086AD1A" w:rsidR="00373AF8" w:rsidRPr="00DC7801" w:rsidRDefault="00373AF8">
      <w:pPr>
        <w:pStyle w:val="FootnoteText"/>
        <w:rPr>
          <w:lang w:val="en-US"/>
        </w:rPr>
      </w:pPr>
      <w:r>
        <w:rPr>
          <w:rStyle w:val="FootnoteReference"/>
        </w:rPr>
        <w:footnoteRef/>
      </w:r>
      <w:r>
        <w:t xml:space="preserve"> </w:t>
      </w:r>
      <w:r w:rsidR="00DC7801">
        <w:rPr>
          <w:lang w:val="en-US"/>
        </w:rPr>
        <w:tab/>
      </w:r>
      <w:r w:rsidR="00DC7801" w:rsidRPr="00887B17">
        <w:rPr>
          <w:rFonts w:cs="Arial"/>
          <w:i/>
          <w:iCs/>
          <w:color w:val="000000" w:themeColor="text1"/>
          <w:lang w:val="en-US"/>
        </w:rPr>
        <w:t>Chapelgate</w:t>
      </w:r>
      <w:r w:rsidR="00DC7801">
        <w:rPr>
          <w:rFonts w:cs="Arial"/>
          <w:color w:val="000000" w:themeColor="text1"/>
          <w:lang w:val="en-US"/>
        </w:rPr>
        <w:t xml:space="preserve"> para 79</w:t>
      </w:r>
      <w:r w:rsidR="00786B9A">
        <w:rPr>
          <w:rFonts w:cs="Arial"/>
          <w:color w:val="000000" w:themeColor="text1"/>
          <w:lang w:val="en-US"/>
        </w:rPr>
        <w:t xml:space="preserve"> and para 89.</w:t>
      </w:r>
    </w:p>
  </w:footnote>
  <w:footnote w:id="207">
    <w:p w14:paraId="4D2ACB89" w14:textId="65AE55B3" w:rsidR="00D14A42" w:rsidRPr="00887B17" w:rsidRDefault="00D14A42"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41556C">
        <w:rPr>
          <w:rFonts w:cs="Arial"/>
          <w:color w:val="000000" w:themeColor="text1"/>
        </w:rPr>
        <w:tab/>
      </w:r>
      <w:r w:rsidRPr="00887B17">
        <w:rPr>
          <w:rFonts w:cs="Arial"/>
          <w:color w:val="000000" w:themeColor="text1"/>
          <w:lang w:val="en-US"/>
        </w:rPr>
        <w:t xml:space="preserve">City </w:t>
      </w:r>
      <w:r w:rsidR="0041556C">
        <w:rPr>
          <w:rFonts w:cs="Arial"/>
          <w:color w:val="000000" w:themeColor="text1"/>
          <w:lang w:val="en-US"/>
        </w:rPr>
        <w:t>f</w:t>
      </w:r>
      <w:r w:rsidRPr="00887B17">
        <w:rPr>
          <w:rFonts w:cs="Arial"/>
          <w:color w:val="000000" w:themeColor="text1"/>
          <w:lang w:val="en-US"/>
        </w:rPr>
        <w:t xml:space="preserve">urther </w:t>
      </w:r>
      <w:r w:rsidR="0041556C">
        <w:rPr>
          <w:rFonts w:cs="Arial"/>
          <w:color w:val="000000" w:themeColor="text1"/>
          <w:lang w:val="en-US"/>
        </w:rPr>
        <w:t>a</w:t>
      </w:r>
      <w:r w:rsidRPr="00887B17">
        <w:rPr>
          <w:rFonts w:cs="Arial"/>
          <w:color w:val="000000" w:themeColor="text1"/>
          <w:lang w:val="en-US"/>
        </w:rPr>
        <w:t xml:space="preserve">ffidavit, para </w:t>
      </w:r>
      <w:r w:rsidR="00A05589">
        <w:rPr>
          <w:rFonts w:cs="Arial"/>
          <w:color w:val="000000" w:themeColor="text1"/>
          <w:lang w:val="en-US"/>
        </w:rPr>
        <w:t xml:space="preserve">69-72, City notices bundle, rec. </w:t>
      </w:r>
      <w:r w:rsidR="00F428ED">
        <w:rPr>
          <w:rFonts w:cs="Arial"/>
          <w:color w:val="000000" w:themeColor="text1"/>
          <w:lang w:val="en-US"/>
        </w:rPr>
        <w:t>50-52.</w:t>
      </w:r>
    </w:p>
  </w:footnote>
  <w:footnote w:id="208">
    <w:p w14:paraId="52DD1D54" w14:textId="2A6DABD7" w:rsidR="000B7A13" w:rsidRPr="000B7A13" w:rsidRDefault="000B7A13">
      <w:pPr>
        <w:pStyle w:val="FootnoteText"/>
        <w:rPr>
          <w:lang w:val="en-US"/>
        </w:rPr>
      </w:pPr>
      <w:r>
        <w:rPr>
          <w:rStyle w:val="FootnoteReference"/>
        </w:rPr>
        <w:footnoteRef/>
      </w:r>
      <w:r>
        <w:t xml:space="preserve"> </w:t>
      </w:r>
      <w:r>
        <w:rPr>
          <w:lang w:val="en-US"/>
        </w:rPr>
        <w:tab/>
        <w:t xml:space="preserve">City AA para 71, rec. </w:t>
      </w:r>
      <w:r w:rsidR="00C61D5B">
        <w:rPr>
          <w:lang w:val="en-US"/>
        </w:rPr>
        <w:t>501</w:t>
      </w:r>
    </w:p>
  </w:footnote>
  <w:footnote w:id="209">
    <w:p w14:paraId="4FAAC647" w14:textId="7EF7915E" w:rsidR="0086763D" w:rsidRPr="00887B17" w:rsidRDefault="0086763D"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DA692E">
        <w:rPr>
          <w:rFonts w:cs="Arial"/>
          <w:color w:val="000000" w:themeColor="text1"/>
        </w:rPr>
        <w:tab/>
      </w:r>
      <w:r w:rsidRPr="00887B17">
        <w:rPr>
          <w:rFonts w:cs="Arial"/>
          <w:color w:val="000000" w:themeColor="text1"/>
        </w:rPr>
        <w:t xml:space="preserve">FA </w:t>
      </w:r>
      <w:r w:rsidR="008431C4">
        <w:rPr>
          <w:rFonts w:cs="Arial"/>
          <w:color w:val="000000" w:themeColor="text1"/>
          <w:lang w:val="en-US"/>
        </w:rPr>
        <w:t>p</w:t>
      </w:r>
      <w:r w:rsidRPr="00887B17">
        <w:rPr>
          <w:rFonts w:cs="Arial"/>
          <w:color w:val="000000" w:themeColor="text1"/>
          <w:lang w:val="en-US"/>
        </w:rPr>
        <w:t xml:space="preserve">ara 35, rec. 27; </w:t>
      </w:r>
      <w:r w:rsidR="00506C4D" w:rsidRPr="00887B17">
        <w:rPr>
          <w:rFonts w:cs="Arial"/>
          <w:color w:val="000000" w:themeColor="text1"/>
          <w:lang w:val="en-US"/>
        </w:rPr>
        <w:t xml:space="preserve">para 42, rec. 28; para 51, rec. 29 -30; para </w:t>
      </w:r>
      <w:r w:rsidR="00774004" w:rsidRPr="00887B17">
        <w:rPr>
          <w:rFonts w:cs="Arial"/>
          <w:color w:val="000000" w:themeColor="text1"/>
          <w:lang w:val="en-US"/>
        </w:rPr>
        <w:t>58 – 59, rec. 30 -31; para 69 – 70, rec. 32-33</w:t>
      </w:r>
      <w:r w:rsidR="00512FAF" w:rsidRPr="00887B17">
        <w:rPr>
          <w:rFonts w:cs="Arial"/>
          <w:color w:val="000000" w:themeColor="text1"/>
          <w:lang w:val="en-US"/>
        </w:rPr>
        <w:t xml:space="preserve">; para 76, rec. 33 – 34; para 83, rec. 35; </w:t>
      </w:r>
      <w:r w:rsidR="00CA5E01" w:rsidRPr="00887B17">
        <w:rPr>
          <w:rFonts w:cs="Arial"/>
          <w:color w:val="000000" w:themeColor="text1"/>
          <w:lang w:val="en-US"/>
        </w:rPr>
        <w:t>para 90, rec. 36; para 96, rec. 37; para 104, rec.</w:t>
      </w:r>
      <w:r w:rsidR="008431C4">
        <w:rPr>
          <w:rFonts w:cs="Arial"/>
          <w:color w:val="000000" w:themeColor="text1"/>
          <w:lang w:val="en-US"/>
        </w:rPr>
        <w:t> </w:t>
      </w:r>
      <w:r w:rsidR="00CA5E01" w:rsidRPr="00887B17">
        <w:rPr>
          <w:rFonts w:cs="Arial"/>
          <w:color w:val="000000" w:themeColor="text1"/>
          <w:lang w:val="en-US"/>
        </w:rPr>
        <w:t>38</w:t>
      </w:r>
      <w:r w:rsidR="008431C4">
        <w:rPr>
          <w:rFonts w:cs="Arial"/>
          <w:color w:val="000000" w:themeColor="text1"/>
          <w:lang w:val="en-US"/>
        </w:rPr>
        <w:t>.</w:t>
      </w:r>
    </w:p>
  </w:footnote>
  <w:footnote w:id="210">
    <w:p w14:paraId="7B431A2F" w14:textId="1A132342" w:rsidR="00B71867" w:rsidRPr="00887B17" w:rsidRDefault="00B71867"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634564">
        <w:rPr>
          <w:rFonts w:cs="Arial"/>
          <w:color w:val="000000" w:themeColor="text1"/>
        </w:rPr>
        <w:tab/>
      </w:r>
      <w:r w:rsidRPr="00887B17">
        <w:rPr>
          <w:rFonts w:cs="Arial"/>
          <w:color w:val="000000" w:themeColor="text1"/>
          <w:lang w:val="en-US"/>
        </w:rPr>
        <w:t xml:space="preserve">Confirmatory </w:t>
      </w:r>
      <w:r w:rsidR="00634564">
        <w:rPr>
          <w:rFonts w:cs="Arial"/>
          <w:color w:val="000000" w:themeColor="text1"/>
          <w:lang w:val="en-US"/>
        </w:rPr>
        <w:t>a</w:t>
      </w:r>
      <w:r w:rsidRPr="00887B17">
        <w:rPr>
          <w:rFonts w:cs="Arial"/>
          <w:color w:val="000000" w:themeColor="text1"/>
          <w:lang w:val="en-US"/>
        </w:rPr>
        <w:t>ffidavit</w:t>
      </w:r>
      <w:r w:rsidR="00634564">
        <w:rPr>
          <w:rFonts w:cs="Arial"/>
          <w:color w:val="000000" w:themeColor="text1"/>
          <w:lang w:val="en-US"/>
        </w:rPr>
        <w:t xml:space="preserve">, </w:t>
      </w:r>
      <w:r w:rsidRPr="00887B17">
        <w:rPr>
          <w:rFonts w:cs="Arial"/>
          <w:color w:val="000000" w:themeColor="text1"/>
          <w:lang w:val="en-US"/>
        </w:rPr>
        <w:t xml:space="preserve">Sam, para 6, rec. 366. </w:t>
      </w:r>
    </w:p>
  </w:footnote>
  <w:footnote w:id="211">
    <w:p w14:paraId="1940533E" w14:textId="5A4A935C" w:rsidR="00C220A6" w:rsidRPr="00887B17" w:rsidRDefault="00C220A6" w:rsidP="00887B17">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3D6F2C">
        <w:rPr>
          <w:rFonts w:cs="Arial"/>
          <w:i/>
          <w:iCs/>
          <w:color w:val="000000" w:themeColor="text1"/>
        </w:rPr>
        <w:t>Grootboom</w:t>
      </w:r>
      <w:r w:rsidR="00887A67" w:rsidRPr="00887B17">
        <w:rPr>
          <w:rFonts w:cs="Arial"/>
          <w:color w:val="000000" w:themeColor="text1"/>
        </w:rPr>
        <w:t xml:space="preserve"> </w:t>
      </w:r>
      <w:r w:rsidR="00313679" w:rsidRPr="00313679">
        <w:rPr>
          <w:rFonts w:cs="Arial"/>
          <w:i/>
          <w:iCs/>
          <w:color w:val="000000" w:themeColor="text1"/>
        </w:rPr>
        <w:t>(supra)</w:t>
      </w:r>
      <w:r w:rsidR="00313679">
        <w:rPr>
          <w:rFonts w:cs="Arial"/>
          <w:color w:val="000000" w:themeColor="text1"/>
        </w:rPr>
        <w:t xml:space="preserve"> para </w:t>
      </w:r>
      <w:r w:rsidR="00887A67" w:rsidRPr="00887B17">
        <w:rPr>
          <w:rFonts w:cs="Arial"/>
          <w:color w:val="000000" w:themeColor="text1"/>
        </w:rPr>
        <w:t>14.</w:t>
      </w:r>
    </w:p>
  </w:footnote>
  <w:footnote w:id="212">
    <w:p w14:paraId="1DD330C6" w14:textId="77777777" w:rsidR="00ED5065" w:rsidRPr="00887B17" w:rsidRDefault="00ED5065" w:rsidP="00ED5065">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Pr>
          <w:rFonts w:cs="Arial"/>
          <w:color w:val="000000" w:themeColor="text1"/>
          <w:lang w:val="en-US"/>
        </w:rPr>
        <w:tab/>
      </w:r>
      <w:r w:rsidRPr="00887B17">
        <w:rPr>
          <w:rFonts w:cs="Arial"/>
          <w:color w:val="000000" w:themeColor="text1"/>
          <w:lang w:val="en-US"/>
        </w:rPr>
        <w:t>RA para 155, rec. 729.</w:t>
      </w:r>
    </w:p>
  </w:footnote>
  <w:footnote w:id="213">
    <w:p w14:paraId="1F45AB04" w14:textId="6348F3E2" w:rsidR="00CD261B" w:rsidRPr="00CD261B" w:rsidRDefault="00CD261B">
      <w:pPr>
        <w:pStyle w:val="FootnoteText"/>
        <w:rPr>
          <w:lang w:val="en-US"/>
        </w:rPr>
      </w:pPr>
      <w:r>
        <w:rPr>
          <w:rStyle w:val="FootnoteReference"/>
        </w:rPr>
        <w:footnoteRef/>
      </w:r>
      <w:r>
        <w:t xml:space="preserve"> </w:t>
      </w:r>
      <w:r>
        <w:rPr>
          <w:lang w:val="en-US"/>
        </w:rPr>
        <w:tab/>
        <w:t xml:space="preserve">RA para </w:t>
      </w:r>
      <w:r w:rsidR="0000292F">
        <w:rPr>
          <w:lang w:val="en-US"/>
        </w:rPr>
        <w:t>74-78, rec. 713-</w:t>
      </w:r>
      <w:r w:rsidR="00B57DEC">
        <w:rPr>
          <w:lang w:val="en-US"/>
        </w:rPr>
        <w:t>715.</w:t>
      </w:r>
    </w:p>
  </w:footnote>
  <w:footnote w:id="214">
    <w:p w14:paraId="2FE95B98" w14:textId="59C9AF2B" w:rsidR="004F6C05" w:rsidRPr="00887B17" w:rsidRDefault="004F6C05" w:rsidP="004F6C05">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lang w:val="en-US"/>
        </w:rPr>
        <w:t>Transnet HoA</w:t>
      </w:r>
      <w:r>
        <w:rPr>
          <w:rFonts w:cs="Arial"/>
          <w:color w:val="000000" w:themeColor="text1"/>
          <w:lang w:val="en-US"/>
        </w:rPr>
        <w:t xml:space="preserve"> </w:t>
      </w:r>
      <w:r w:rsidRPr="00887B17">
        <w:rPr>
          <w:rFonts w:cs="Arial"/>
          <w:color w:val="000000" w:themeColor="text1"/>
          <w:lang w:val="en-US"/>
        </w:rPr>
        <w:t xml:space="preserve">para 113. </w:t>
      </w:r>
    </w:p>
  </w:footnote>
  <w:footnote w:id="215">
    <w:p w14:paraId="6D9D3D03" w14:textId="49D3AE35" w:rsidR="00030075" w:rsidRPr="00887B17" w:rsidRDefault="00030075" w:rsidP="00030075">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Pr>
          <w:rFonts w:cs="Arial"/>
          <w:color w:val="000000" w:themeColor="text1"/>
          <w:lang w:val="en-US"/>
        </w:rPr>
        <w:tab/>
      </w:r>
      <w:r w:rsidRPr="00887B17">
        <w:rPr>
          <w:rFonts w:cs="Arial"/>
          <w:color w:val="000000" w:themeColor="text1"/>
          <w:lang w:val="en-US"/>
        </w:rPr>
        <w:t>RA</w:t>
      </w:r>
      <w:r w:rsidR="005478B8">
        <w:rPr>
          <w:rFonts w:cs="Arial"/>
          <w:color w:val="000000" w:themeColor="text1"/>
          <w:lang w:val="en-US"/>
        </w:rPr>
        <w:t xml:space="preserve"> </w:t>
      </w:r>
      <w:r w:rsidRPr="00887B17">
        <w:rPr>
          <w:rFonts w:cs="Arial"/>
          <w:color w:val="000000" w:themeColor="text1"/>
          <w:lang w:val="en-US"/>
        </w:rPr>
        <w:t>para 78</w:t>
      </w:r>
      <w:r>
        <w:rPr>
          <w:rFonts w:cs="Arial"/>
          <w:color w:val="000000" w:themeColor="text1"/>
          <w:lang w:val="en-US"/>
        </w:rPr>
        <w:t>-</w:t>
      </w:r>
      <w:r w:rsidRPr="00887B17">
        <w:rPr>
          <w:rFonts w:cs="Arial"/>
          <w:color w:val="000000" w:themeColor="text1"/>
          <w:lang w:val="en-US"/>
        </w:rPr>
        <w:t>78.</w:t>
      </w:r>
      <w:r w:rsidR="00B67C61">
        <w:rPr>
          <w:rFonts w:cs="Arial"/>
          <w:color w:val="000000" w:themeColor="text1"/>
          <w:lang w:val="en-US"/>
        </w:rPr>
        <w:t>7</w:t>
      </w:r>
      <w:r w:rsidRPr="00887B17">
        <w:rPr>
          <w:rFonts w:cs="Arial"/>
          <w:color w:val="000000" w:themeColor="text1"/>
          <w:lang w:val="en-US"/>
        </w:rPr>
        <w:t>, rec. 714</w:t>
      </w:r>
      <w:r w:rsidR="0003187D">
        <w:rPr>
          <w:rFonts w:cs="Arial"/>
          <w:color w:val="000000" w:themeColor="text1"/>
          <w:lang w:val="en-US"/>
        </w:rPr>
        <w:t>-715</w:t>
      </w:r>
      <w:r w:rsidRPr="00887B17">
        <w:rPr>
          <w:rFonts w:cs="Arial"/>
          <w:color w:val="000000" w:themeColor="text1"/>
          <w:lang w:val="en-US"/>
        </w:rPr>
        <w:t>.</w:t>
      </w:r>
    </w:p>
  </w:footnote>
  <w:footnote w:id="216">
    <w:p w14:paraId="7D18CA62" w14:textId="2A69B453" w:rsidR="00B739F7" w:rsidRPr="00B739F7" w:rsidRDefault="00B739F7">
      <w:pPr>
        <w:pStyle w:val="FootnoteText"/>
        <w:rPr>
          <w:lang w:val="en-US"/>
        </w:rPr>
      </w:pPr>
      <w:r>
        <w:rPr>
          <w:rStyle w:val="FootnoteReference"/>
        </w:rPr>
        <w:footnoteRef/>
      </w:r>
      <w:r>
        <w:t xml:space="preserve"> </w:t>
      </w:r>
      <w:r>
        <w:rPr>
          <w:lang w:val="en-US"/>
        </w:rPr>
        <w:tab/>
        <w:t xml:space="preserve">RA para </w:t>
      </w:r>
      <w:r w:rsidR="00522CC3">
        <w:rPr>
          <w:lang w:val="en-US"/>
        </w:rPr>
        <w:t xml:space="preserve">65-68, rec. </w:t>
      </w:r>
      <w:r w:rsidR="00E36CD1">
        <w:rPr>
          <w:lang w:val="en-US"/>
        </w:rPr>
        <w:t>710-711.</w:t>
      </w:r>
    </w:p>
  </w:footnote>
  <w:footnote w:id="217">
    <w:p w14:paraId="3F069C50" w14:textId="051CED72" w:rsidR="00E36CD1" w:rsidRPr="00E36CD1" w:rsidRDefault="00E36CD1">
      <w:pPr>
        <w:pStyle w:val="FootnoteText"/>
        <w:rPr>
          <w:lang w:val="en-US"/>
        </w:rPr>
      </w:pPr>
      <w:r>
        <w:rPr>
          <w:rStyle w:val="FootnoteReference"/>
        </w:rPr>
        <w:footnoteRef/>
      </w:r>
      <w:r>
        <w:t xml:space="preserve"> </w:t>
      </w:r>
      <w:r w:rsidR="00B67C61">
        <w:rPr>
          <w:lang w:val="en-US"/>
        </w:rPr>
        <w:tab/>
        <w:t xml:space="preserve">RA para </w:t>
      </w:r>
      <w:r w:rsidR="0003187D">
        <w:rPr>
          <w:lang w:val="en-US"/>
        </w:rPr>
        <w:t>61-62, rec. 710.</w:t>
      </w:r>
    </w:p>
  </w:footnote>
  <w:footnote w:id="218">
    <w:p w14:paraId="100A3CBA" w14:textId="2CBFA00B" w:rsidR="009022B6" w:rsidRPr="0084667C" w:rsidRDefault="009022B6" w:rsidP="009022B6">
      <w:pPr>
        <w:pStyle w:val="FootnoteText"/>
        <w:rPr>
          <w:rFonts w:cs="Arial"/>
        </w:rPr>
      </w:pPr>
      <w:r w:rsidRPr="0084667C">
        <w:rPr>
          <w:rStyle w:val="FootnoteReference"/>
          <w:rFonts w:eastAsiaTheme="majorEastAsia" w:cs="Arial"/>
        </w:rPr>
        <w:footnoteRef/>
      </w:r>
      <w:r w:rsidRPr="0084667C">
        <w:rPr>
          <w:rFonts w:cs="Arial"/>
        </w:rPr>
        <w:t xml:space="preserve"> </w:t>
      </w:r>
      <w:r>
        <w:rPr>
          <w:rFonts w:cs="Arial"/>
        </w:rPr>
        <w:tab/>
      </w:r>
      <w:r w:rsidRPr="0084667C">
        <w:rPr>
          <w:rFonts w:cs="Arial"/>
          <w:i/>
          <w:iCs/>
        </w:rPr>
        <w:t>Mostert v FirstRand Bank Ltd t/a RMB Private Bank</w:t>
      </w:r>
      <w:r w:rsidRPr="0084667C">
        <w:rPr>
          <w:rFonts w:cs="Arial"/>
        </w:rPr>
        <w:t> </w:t>
      </w:r>
      <w:r w:rsidRPr="00881C6D">
        <w:rPr>
          <w:rFonts w:eastAsiaTheme="majorEastAsia" w:cs="Arial"/>
        </w:rPr>
        <w:t>2018 (4) SA 443 (SCA)</w:t>
      </w:r>
      <w:r>
        <w:rPr>
          <w:rFonts w:cs="Arial"/>
        </w:rPr>
        <w:t xml:space="preserve"> para 13.</w:t>
      </w:r>
    </w:p>
  </w:footnote>
  <w:footnote w:id="219">
    <w:p w14:paraId="0A6C7869" w14:textId="2382C410" w:rsidR="0075699F" w:rsidRPr="00887B17" w:rsidRDefault="0075699F" w:rsidP="00887B17">
      <w:pPr>
        <w:pStyle w:val="FootnoteText"/>
        <w:rPr>
          <w:rFonts w:cs="Arial"/>
          <w:i/>
          <w:iCs/>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0038736A" w:rsidRPr="00887B17">
        <w:rPr>
          <w:rFonts w:cs="Arial"/>
          <w:color w:val="000000" w:themeColor="text1"/>
        </w:rPr>
        <w:tab/>
      </w:r>
      <w:r w:rsidRPr="00887B17">
        <w:rPr>
          <w:rFonts w:cs="Arial"/>
          <w:i/>
          <w:iCs/>
          <w:color w:val="000000" w:themeColor="text1"/>
        </w:rPr>
        <w:t>Tantoush</w:t>
      </w:r>
      <w:r w:rsidR="00A06E23">
        <w:rPr>
          <w:rFonts w:cs="Arial"/>
          <w:i/>
          <w:iCs/>
          <w:color w:val="000000" w:themeColor="text1"/>
        </w:rPr>
        <w:t xml:space="preserve"> (supra)</w:t>
      </w:r>
      <w:r w:rsidRPr="00887B17">
        <w:rPr>
          <w:rFonts w:cs="Arial"/>
          <w:i/>
          <w:iCs/>
          <w:color w:val="000000" w:themeColor="text1"/>
        </w:rPr>
        <w:t xml:space="preserve"> </w:t>
      </w:r>
      <w:r w:rsidR="0038736A" w:rsidRPr="00887B17">
        <w:rPr>
          <w:rFonts w:cs="Arial"/>
          <w:color w:val="000000" w:themeColor="text1"/>
        </w:rPr>
        <w:t>para</w:t>
      </w:r>
      <w:r w:rsidRPr="00887B17">
        <w:rPr>
          <w:rFonts w:cs="Arial"/>
          <w:color w:val="000000" w:themeColor="text1"/>
        </w:rPr>
        <w:t xml:space="preserve"> </w:t>
      </w:r>
      <w:r w:rsidR="0038736A" w:rsidRPr="00887B17">
        <w:rPr>
          <w:rFonts w:cs="Arial"/>
          <w:color w:val="000000" w:themeColor="text1"/>
        </w:rPr>
        <w:t xml:space="preserve">50 – </w:t>
      </w:r>
      <w:r w:rsidRPr="00887B17">
        <w:rPr>
          <w:rFonts w:cs="Arial"/>
          <w:color w:val="000000" w:themeColor="text1"/>
        </w:rPr>
        <w:t>51</w:t>
      </w:r>
      <w:r w:rsidR="0038736A" w:rsidRPr="00887B17">
        <w:rPr>
          <w:rFonts w:cs="Arial"/>
          <w:color w:val="000000" w:themeColor="text1"/>
        </w:rPr>
        <w:t>.</w:t>
      </w:r>
      <w:r w:rsidRPr="00887B17">
        <w:rPr>
          <w:rFonts w:cs="Arial"/>
          <w:color w:val="000000" w:themeColor="text1"/>
        </w:rPr>
        <w:t xml:space="preserve"> </w:t>
      </w:r>
    </w:p>
  </w:footnote>
  <w:footnote w:id="220">
    <w:p w14:paraId="093ECE15" w14:textId="5E171A76" w:rsidR="005C23E6" w:rsidRPr="005C23E6" w:rsidRDefault="005C23E6">
      <w:pPr>
        <w:pStyle w:val="FootnoteText"/>
        <w:rPr>
          <w:lang w:val="en-US"/>
        </w:rPr>
      </w:pPr>
      <w:r>
        <w:rPr>
          <w:rStyle w:val="FootnoteReference"/>
        </w:rPr>
        <w:footnoteRef/>
      </w:r>
      <w:r>
        <w:t xml:space="preserve"> </w:t>
      </w:r>
      <w:r>
        <w:tab/>
      </w:r>
      <w:r>
        <w:t xml:space="preserve">City further affidavit para </w:t>
      </w:r>
      <w:r w:rsidR="00F66174">
        <w:t>8-</w:t>
      </w:r>
      <w:r w:rsidR="00290CDB">
        <w:t>10</w:t>
      </w:r>
      <w:r w:rsidR="00F66174">
        <w:t>, rec.</w:t>
      </w:r>
      <w:r w:rsidR="00290CDB">
        <w:t xml:space="preserve"> 24-25.</w:t>
      </w:r>
    </w:p>
  </w:footnote>
  <w:footnote w:id="221">
    <w:p w14:paraId="7442B8F9" w14:textId="1813A362" w:rsidR="00290CDB" w:rsidRPr="00290CDB" w:rsidRDefault="00290CDB">
      <w:pPr>
        <w:pStyle w:val="FootnoteText"/>
        <w:rPr>
          <w:lang w:val="en-US"/>
        </w:rPr>
      </w:pPr>
      <w:r>
        <w:rPr>
          <w:rStyle w:val="FootnoteReference"/>
        </w:rPr>
        <w:footnoteRef/>
      </w:r>
      <w:r>
        <w:t xml:space="preserve"> </w:t>
      </w:r>
      <w:r>
        <w:rPr>
          <w:lang w:val="en-US"/>
        </w:rPr>
        <w:t>Notice to strike out, City notices bundle</w:t>
      </w:r>
      <w:r w:rsidR="00835419">
        <w:rPr>
          <w:lang w:val="en-US"/>
        </w:rPr>
        <w:t>, rec. 9-12.</w:t>
      </w:r>
    </w:p>
  </w:footnote>
  <w:footnote w:id="222">
    <w:p w14:paraId="69B8D9F7" w14:textId="78237DFA" w:rsidR="00835419" w:rsidRPr="00887B17" w:rsidRDefault="00835419" w:rsidP="00835419">
      <w:pPr>
        <w:pStyle w:val="FootnoteText"/>
        <w:rPr>
          <w:rFonts w:cs="Arial"/>
          <w:color w:val="000000" w:themeColor="text1"/>
          <w:lang w:val="en-US"/>
        </w:rPr>
      </w:pPr>
      <w:r w:rsidRPr="00887B17">
        <w:rPr>
          <w:rStyle w:val="FootnoteReference"/>
          <w:rFonts w:cs="Arial"/>
          <w:color w:val="000000" w:themeColor="text1"/>
        </w:rPr>
        <w:footnoteRef/>
      </w:r>
      <w:r w:rsidRPr="00887B17">
        <w:rPr>
          <w:rFonts w:cs="Arial"/>
          <w:color w:val="000000" w:themeColor="text1"/>
        </w:rPr>
        <w:t xml:space="preserve"> </w:t>
      </w:r>
      <w:r w:rsidRPr="00887B17">
        <w:rPr>
          <w:rFonts w:cs="Arial"/>
          <w:color w:val="000000" w:themeColor="text1"/>
        </w:rPr>
        <w:tab/>
      </w:r>
      <w:r w:rsidRPr="00887B17">
        <w:rPr>
          <w:rFonts w:cs="Arial"/>
          <w:i/>
          <w:iCs/>
          <w:color w:val="000000" w:themeColor="text1"/>
        </w:rPr>
        <w:t xml:space="preserve">Botha v Smuts and Others </w:t>
      </w:r>
      <w:r w:rsidRPr="00887B17">
        <w:rPr>
          <w:rFonts w:cs="Arial"/>
          <w:color w:val="000000" w:themeColor="text1"/>
        </w:rPr>
        <w:t>2025 (1) SA 581 (CC)</w:t>
      </w:r>
      <w:r w:rsidR="009F6405">
        <w:rPr>
          <w:rFonts w:cs="Arial"/>
          <w:color w:val="000000" w:themeColor="text1"/>
        </w:rPr>
        <w:t xml:space="preserve">, para </w:t>
      </w:r>
      <w:r w:rsidRPr="00887B17">
        <w:rPr>
          <w:rFonts w:cs="Arial"/>
          <w:color w:val="000000" w:themeColor="text1"/>
          <w:lang w:val="en-US"/>
        </w:rPr>
        <w:t xml:space="preserve">58, citing </w:t>
      </w:r>
      <w:r w:rsidRPr="00887B17">
        <w:rPr>
          <w:rFonts w:cs="Arial"/>
          <w:i/>
          <w:iCs/>
          <w:color w:val="000000" w:themeColor="text1"/>
          <w:lang w:val="en-US"/>
        </w:rPr>
        <w:t>Mistry</w:t>
      </w:r>
      <w:r w:rsidR="009F6405">
        <w:rPr>
          <w:rFonts w:cs="Arial"/>
          <w:i/>
          <w:iCs/>
          <w:color w:val="000000" w:themeColor="text1"/>
          <w:lang w:val="en-US"/>
        </w:rPr>
        <w:t xml:space="preserve"> (supra).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1037850"/>
      <w:docPartObj>
        <w:docPartGallery w:val="Page Numbers (Top of Page)"/>
        <w:docPartUnique/>
      </w:docPartObj>
    </w:sdtPr>
    <w:sdtEndPr>
      <w:rPr>
        <w:rStyle w:val="PageNumber"/>
      </w:rPr>
    </w:sdtEndPr>
    <w:sdtContent>
      <w:p w14:paraId="3E91299E" w14:textId="46AE85CE" w:rsidR="009C58ED" w:rsidRDefault="009C58ED" w:rsidP="009B3D6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A748F9" w14:textId="77777777" w:rsidR="009C58ED" w:rsidRDefault="009C58ED" w:rsidP="009C58E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183880"/>
      <w:docPartObj>
        <w:docPartGallery w:val="Page Numbers (Top of Page)"/>
        <w:docPartUnique/>
      </w:docPartObj>
    </w:sdtPr>
    <w:sdtEndPr>
      <w:rPr>
        <w:rStyle w:val="PageNumber"/>
      </w:rPr>
    </w:sdtEndPr>
    <w:sdtContent>
      <w:p w14:paraId="1C1EA164" w14:textId="73700244" w:rsidR="009B3D6E" w:rsidRDefault="009B3D6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2F8E2DF4" w14:textId="77777777" w:rsidR="009C58ED" w:rsidRDefault="009C58ED" w:rsidP="009C58E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D96"/>
    <w:multiLevelType w:val="multilevel"/>
    <w:tmpl w:val="A7EC7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13366"/>
    <w:multiLevelType w:val="multilevel"/>
    <w:tmpl w:val="C846C954"/>
    <w:styleLink w:val="CurrentList6"/>
    <w:lvl w:ilvl="0">
      <w:start w:val="1"/>
      <w:numFmt w:val="decimal"/>
      <w:lvlText w:val="%1."/>
      <w:lvlJc w:val="left"/>
      <w:pPr>
        <w:tabs>
          <w:tab w:val="num" w:pos="709"/>
        </w:tabs>
        <w:ind w:left="709" w:hanging="709"/>
      </w:pPr>
      <w:rPr>
        <w:rFonts w:ascii="Arial" w:hAnsi="Arial" w:cs="Arial" w:hint="default"/>
        <w:sz w:val="24"/>
        <w:szCs w:val="24"/>
      </w:rPr>
    </w:lvl>
    <w:lvl w:ilvl="1">
      <w:start w:val="1"/>
      <w:numFmt w:val="decimal"/>
      <w:lvlText w:val="%1.%2."/>
      <w:lvlJc w:val="left"/>
      <w:pPr>
        <w:ind w:left="1701" w:hanging="992"/>
      </w:pPr>
      <w:rPr>
        <w:rFonts w:hint="default"/>
        <w:sz w:val="24"/>
        <w:szCs w:val="24"/>
      </w:rPr>
    </w:lvl>
    <w:lvl w:ilvl="2">
      <w:start w:val="1"/>
      <w:numFmt w:val="decimal"/>
      <w:lvlText w:val="%1.%2.%3."/>
      <w:lvlJc w:val="left"/>
      <w:pPr>
        <w:tabs>
          <w:tab w:val="num" w:pos="2835"/>
        </w:tabs>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C16A21"/>
    <w:multiLevelType w:val="multilevel"/>
    <w:tmpl w:val="C3AC3D20"/>
    <w:lvl w:ilvl="0">
      <w:start w:val="1"/>
      <w:numFmt w:val="decimal"/>
      <w:pStyle w:val="LevelN1"/>
      <w:lvlText w:val="%1."/>
      <w:lvlJc w:val="left"/>
      <w:pPr>
        <w:tabs>
          <w:tab w:val="num" w:pos="851"/>
        </w:tabs>
        <w:ind w:left="851" w:hanging="851"/>
      </w:pPr>
      <w:rPr>
        <w:rFonts w:cs="Times New Roman"/>
        <w:b w:val="0"/>
      </w:rPr>
    </w:lvl>
    <w:lvl w:ilvl="1">
      <w:start w:val="1"/>
      <w:numFmt w:val="decimal"/>
      <w:pStyle w:val="LevelN2"/>
      <w:lvlText w:val="%1.%2"/>
      <w:lvlJc w:val="left"/>
      <w:pPr>
        <w:tabs>
          <w:tab w:val="num" w:pos="1418"/>
        </w:tabs>
        <w:ind w:left="1418" w:hanging="708"/>
      </w:pPr>
      <w:rPr>
        <w:rFonts w:cs="Times New Roman"/>
      </w:rPr>
    </w:lvl>
    <w:lvl w:ilvl="2">
      <w:start w:val="1"/>
      <w:numFmt w:val="decimal"/>
      <w:pStyle w:val="LevelN3"/>
      <w:lvlText w:val="%1.%2.%3"/>
      <w:lvlJc w:val="left"/>
      <w:pPr>
        <w:tabs>
          <w:tab w:val="num" w:pos="2381"/>
        </w:tabs>
        <w:ind w:left="2381" w:hanging="822"/>
      </w:pPr>
      <w:rPr>
        <w:rFonts w:cs="Times New Roman"/>
      </w:rPr>
    </w:lvl>
    <w:lvl w:ilvl="3">
      <w:start w:val="1"/>
      <w:numFmt w:val="decimal"/>
      <w:pStyle w:val="LevelN4"/>
      <w:lvlText w:val="%1.%2.%3.%4"/>
      <w:lvlJc w:val="left"/>
      <w:pPr>
        <w:tabs>
          <w:tab w:val="num" w:pos="3515"/>
        </w:tabs>
        <w:ind w:left="3515" w:hanging="1134"/>
      </w:pPr>
      <w:rPr>
        <w:rFonts w:cs="Times New Roman"/>
      </w:rPr>
    </w:lvl>
    <w:lvl w:ilvl="4">
      <w:start w:val="1"/>
      <w:numFmt w:val="decimal"/>
      <w:pStyle w:val="LevelN5"/>
      <w:lvlText w:val="%1.%2.%3.%4.%5"/>
      <w:lvlJc w:val="left"/>
      <w:pPr>
        <w:tabs>
          <w:tab w:val="num" w:pos="4876"/>
        </w:tabs>
        <w:ind w:left="4876" w:hanging="1361"/>
      </w:pPr>
      <w:rPr>
        <w:rFonts w:cs="Times New Roman"/>
      </w:rPr>
    </w:lvl>
    <w:lvl w:ilvl="5">
      <w:start w:val="1"/>
      <w:numFmt w:val="decimal"/>
      <w:pStyle w:val="LevelN6"/>
      <w:lvlText w:val="%1.%2.%3.%4.%5.%6"/>
      <w:lvlJc w:val="left"/>
      <w:pPr>
        <w:tabs>
          <w:tab w:val="num" w:pos="6237"/>
        </w:tabs>
        <w:ind w:left="6237" w:hanging="1588"/>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1AE02931"/>
    <w:multiLevelType w:val="multilevel"/>
    <w:tmpl w:val="61182C30"/>
    <w:styleLink w:val="CurrentList5"/>
    <w:lvl w:ilvl="0">
      <w:start w:val="1"/>
      <w:numFmt w:val="decimal"/>
      <w:lvlText w:val="%1."/>
      <w:lvlJc w:val="left"/>
      <w:pPr>
        <w:ind w:left="709" w:hanging="709"/>
      </w:pPr>
      <w:rPr>
        <w:rFonts w:ascii="Arial" w:hAnsi="Arial" w:cs="Arial" w:hint="default"/>
        <w:sz w:val="24"/>
        <w:szCs w:val="24"/>
      </w:rPr>
    </w:lvl>
    <w:lvl w:ilvl="1">
      <w:start w:val="1"/>
      <w:numFmt w:val="decimal"/>
      <w:lvlText w:val="%1.%2."/>
      <w:lvlJc w:val="left"/>
      <w:pPr>
        <w:ind w:left="1701" w:hanging="992"/>
      </w:pPr>
      <w:rPr>
        <w:rFonts w:hint="default"/>
        <w:sz w:val="24"/>
        <w:szCs w:val="24"/>
      </w:rPr>
    </w:lvl>
    <w:lvl w:ilvl="2">
      <w:start w:val="1"/>
      <w:numFmt w:val="decimal"/>
      <w:lvlText w:val="%1.%2.%3."/>
      <w:lvlJc w:val="left"/>
      <w:pPr>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7116C8"/>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60670C"/>
    <w:multiLevelType w:val="multilevel"/>
    <w:tmpl w:val="456CCF12"/>
    <w:styleLink w:val="CurrentList4"/>
    <w:lvl w:ilvl="0">
      <w:start w:val="1"/>
      <w:numFmt w:val="decimal"/>
      <w:lvlText w:val="%1."/>
      <w:lvlJc w:val="left"/>
      <w:pPr>
        <w:ind w:left="709" w:hanging="709"/>
      </w:pPr>
      <w:rPr>
        <w:rFonts w:ascii="Arial" w:hAnsi="Arial" w:cs="Arial" w:hint="default"/>
        <w:sz w:val="24"/>
        <w:szCs w:val="24"/>
      </w:rPr>
    </w:lvl>
    <w:lvl w:ilvl="1">
      <w:start w:val="1"/>
      <w:numFmt w:val="decimal"/>
      <w:lvlText w:val="%1.%2."/>
      <w:lvlJc w:val="left"/>
      <w:pPr>
        <w:ind w:left="1701" w:hanging="992"/>
      </w:pPr>
      <w:rPr>
        <w:rFonts w:hint="default"/>
        <w:sz w:val="24"/>
        <w:szCs w:val="24"/>
      </w:rPr>
    </w:lvl>
    <w:lvl w:ilvl="2">
      <w:start w:val="1"/>
      <w:numFmt w:val="decimal"/>
      <w:lvlText w:val="%1.%2.%3."/>
      <w:lvlJc w:val="left"/>
      <w:pPr>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1996AA3"/>
    <w:multiLevelType w:val="multilevel"/>
    <w:tmpl w:val="5F96934C"/>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93740A"/>
    <w:multiLevelType w:val="multilevel"/>
    <w:tmpl w:val="AE625DA0"/>
    <w:lvl w:ilvl="0">
      <w:start w:val="1"/>
      <w:numFmt w:val="decimal"/>
      <w:lvlText w:val="%1."/>
      <w:lvlJc w:val="left"/>
      <w:pPr>
        <w:ind w:left="502" w:hanging="360"/>
      </w:pPr>
      <w:rPr>
        <w:rFonts w:hint="default"/>
        <w:b w:val="0"/>
        <w:i w:val="0"/>
        <w:iCs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rPr>
        <w:rFonts w:hint="default"/>
        <w:b w:val="0"/>
        <w:i w:val="0"/>
        <w:iCs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E669AB"/>
    <w:multiLevelType w:val="multilevel"/>
    <w:tmpl w:val="B104728A"/>
    <w:lvl w:ilvl="0">
      <w:start w:val="1"/>
      <w:numFmt w:val="decimal"/>
      <w:lvlText w:val="%1."/>
      <w:lvlJc w:val="left"/>
      <w:pPr>
        <w:ind w:left="567" w:hanging="567"/>
      </w:pPr>
      <w:rPr>
        <w:rFonts w:ascii="Arial" w:hAnsi="Arial" w:cs="Arial" w:hint="default"/>
        <w:sz w:val="24"/>
        <w:szCs w:val="24"/>
      </w:rPr>
    </w:lvl>
    <w:lvl w:ilvl="1">
      <w:start w:val="1"/>
      <w:numFmt w:val="decimal"/>
      <w:lvlText w:val="%1.%2."/>
      <w:lvlJc w:val="left"/>
      <w:pPr>
        <w:ind w:left="1559" w:hanging="992"/>
      </w:pPr>
      <w:rPr>
        <w:rFonts w:hint="default"/>
        <w:sz w:val="24"/>
        <w:szCs w:val="24"/>
      </w:rPr>
    </w:lvl>
    <w:lvl w:ilvl="2">
      <w:start w:val="1"/>
      <w:numFmt w:val="decimal"/>
      <w:lvlText w:val="%1.%2.%3."/>
      <w:lvlJc w:val="left"/>
      <w:pPr>
        <w:ind w:left="2835" w:hanging="127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B05095"/>
    <w:multiLevelType w:val="multilevel"/>
    <w:tmpl w:val="1FA8C5EA"/>
    <w:styleLink w:val="CurrentList3"/>
    <w:lvl w:ilvl="0">
      <w:start w:val="1"/>
      <w:numFmt w:val="decimal"/>
      <w:lvlText w:val="%1."/>
      <w:lvlJc w:val="left"/>
      <w:pPr>
        <w:ind w:left="709" w:hanging="709"/>
      </w:pPr>
      <w:rPr>
        <w:rFonts w:ascii="Arial" w:hAnsi="Arial" w:cs="Arial" w:hint="default"/>
        <w:sz w:val="24"/>
        <w:szCs w:val="24"/>
      </w:rPr>
    </w:lvl>
    <w:lvl w:ilvl="1">
      <w:start w:val="1"/>
      <w:numFmt w:val="decimal"/>
      <w:lvlText w:val="%1.%2."/>
      <w:lvlJc w:val="left"/>
      <w:pPr>
        <w:ind w:left="1701" w:hanging="981"/>
      </w:pPr>
      <w:rPr>
        <w:rFonts w:hint="default"/>
        <w:sz w:val="24"/>
        <w:szCs w:val="24"/>
      </w:rPr>
    </w:lvl>
    <w:lvl w:ilvl="2">
      <w:start w:val="1"/>
      <w:numFmt w:val="decimal"/>
      <w:lvlText w:val="%1.%2.%3."/>
      <w:lvlJc w:val="left"/>
      <w:pPr>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C886467"/>
    <w:multiLevelType w:val="multilevel"/>
    <w:tmpl w:val="CBF042CE"/>
    <w:styleLink w:val="CurrentList2"/>
    <w:lvl w:ilvl="0">
      <w:start w:val="1"/>
      <w:numFmt w:val="decimal"/>
      <w:lvlText w:val="%1."/>
      <w:lvlJc w:val="left"/>
      <w:pPr>
        <w:ind w:left="720" w:hanging="720"/>
      </w:pPr>
      <w:rPr>
        <w:rFonts w:ascii="Arial" w:hAnsi="Arial" w:cs="Arial" w:hint="default"/>
        <w:sz w:val="24"/>
        <w:szCs w:val="24"/>
      </w:rPr>
    </w:lvl>
    <w:lvl w:ilvl="1">
      <w:start w:val="1"/>
      <w:numFmt w:val="decimal"/>
      <w:lvlText w:val="%1.%2."/>
      <w:lvlJc w:val="left"/>
      <w:pPr>
        <w:ind w:left="1701" w:hanging="981"/>
      </w:pPr>
      <w:rPr>
        <w:rFonts w:hint="default"/>
        <w:sz w:val="24"/>
        <w:szCs w:val="24"/>
      </w:rPr>
    </w:lvl>
    <w:lvl w:ilvl="2">
      <w:start w:val="1"/>
      <w:numFmt w:val="decimal"/>
      <w:lvlText w:val="%1.%2.%3."/>
      <w:lvlJc w:val="left"/>
      <w:pPr>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B761BA"/>
    <w:multiLevelType w:val="hybridMultilevel"/>
    <w:tmpl w:val="F70AF5D6"/>
    <w:lvl w:ilvl="0" w:tplc="A54E40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5A6124"/>
    <w:multiLevelType w:val="multilevel"/>
    <w:tmpl w:val="E5A6D806"/>
    <w:lvl w:ilvl="0">
      <w:start w:val="3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A35CE6"/>
    <w:multiLevelType w:val="multilevel"/>
    <w:tmpl w:val="4A5AC180"/>
    <w:lvl w:ilvl="0">
      <w:start w:val="1"/>
      <w:numFmt w:val="decimal"/>
      <w:pStyle w:val="Style1"/>
      <w:lvlText w:val="%1."/>
      <w:lvlJc w:val="left"/>
      <w:pPr>
        <w:tabs>
          <w:tab w:val="num" w:pos="709"/>
        </w:tabs>
        <w:ind w:left="709" w:hanging="709"/>
      </w:pPr>
      <w:rPr>
        <w:rFonts w:ascii="Times New Roman" w:hAnsi="Times New Roman" w:cs="Times New Roman" w:hint="default"/>
        <w:b w:val="0"/>
        <w:i w:val="0"/>
        <w:color w:val="auto"/>
        <w:sz w:val="24"/>
        <w:szCs w:val="24"/>
        <w:vertAlign w:val="baseline"/>
      </w:rPr>
    </w:lvl>
    <w:lvl w:ilvl="1">
      <w:start w:val="1"/>
      <w:numFmt w:val="decimal"/>
      <w:lvlText w:val="%1.%2."/>
      <w:lvlJc w:val="left"/>
      <w:pPr>
        <w:tabs>
          <w:tab w:val="num" w:pos="1249"/>
        </w:tabs>
        <w:ind w:left="1249" w:hanging="709"/>
      </w:pPr>
      <w:rPr>
        <w:rFonts w:ascii="Times New Roman" w:hAnsi="Times New Roman" w:cs="Times New Roman" w:hint="default"/>
        <w:b w:val="0"/>
        <w:i w:val="0"/>
        <w:color w:val="auto"/>
        <w:sz w:val="24"/>
        <w:szCs w:val="24"/>
        <w:vertAlign w:val="baseline"/>
      </w:rPr>
    </w:lvl>
    <w:lvl w:ilvl="2">
      <w:start w:val="1"/>
      <w:numFmt w:val="decimal"/>
      <w:lvlText w:val="%1.%2.%3."/>
      <w:lvlJc w:val="left"/>
      <w:pPr>
        <w:tabs>
          <w:tab w:val="num" w:pos="2268"/>
        </w:tabs>
        <w:ind w:left="2268" w:hanging="850"/>
      </w:pPr>
      <w:rPr>
        <w:rFonts w:hint="default"/>
        <w:b w:val="0"/>
        <w:i w:val="0"/>
        <w:sz w:val="24"/>
        <w:szCs w:val="24"/>
      </w:rPr>
    </w:lvl>
    <w:lvl w:ilvl="3">
      <w:start w:val="1"/>
      <w:numFmt w:val="decimal"/>
      <w:lvlText w:val="%1.%2.%3.%4."/>
      <w:lvlJc w:val="left"/>
      <w:pPr>
        <w:tabs>
          <w:tab w:val="num" w:pos="3238"/>
        </w:tabs>
        <w:ind w:left="3238" w:hanging="1078"/>
      </w:pPr>
      <w:rPr>
        <w:rFonts w:hint="default"/>
      </w:rPr>
    </w:lvl>
    <w:lvl w:ilvl="4">
      <w:start w:val="1"/>
      <w:numFmt w:val="lowerLetter"/>
      <w:lvlText w:val="%5."/>
      <w:lvlJc w:val="left"/>
      <w:pPr>
        <w:tabs>
          <w:tab w:val="num" w:pos="0"/>
        </w:tabs>
        <w:ind w:left="1980" w:hanging="360"/>
      </w:pPr>
      <w:rPr>
        <w:rFonts w:hint="default"/>
      </w:rPr>
    </w:lvl>
    <w:lvl w:ilvl="5">
      <w:start w:val="1"/>
      <w:numFmt w:val="lowerRoman"/>
      <w:lvlText w:val="%6."/>
      <w:lvlJc w:val="left"/>
      <w:pPr>
        <w:tabs>
          <w:tab w:val="num" w:pos="0"/>
        </w:tabs>
        <w:ind w:left="2160" w:hanging="18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060" w:hanging="180"/>
      </w:pPr>
      <w:rPr>
        <w:rFonts w:hint="default"/>
      </w:rPr>
    </w:lvl>
  </w:abstractNum>
  <w:abstractNum w:abstractNumId="14" w15:restartNumberingAfterBreak="0">
    <w:nsid w:val="4CFE706B"/>
    <w:multiLevelType w:val="multilevel"/>
    <w:tmpl w:val="E1029A2C"/>
    <w:styleLink w:val="CurrentList7"/>
    <w:lvl w:ilvl="0">
      <w:start w:val="1"/>
      <w:numFmt w:val="decimal"/>
      <w:lvlText w:val="%1."/>
      <w:lvlJc w:val="left"/>
      <w:pPr>
        <w:ind w:left="709" w:hanging="709"/>
      </w:pPr>
      <w:rPr>
        <w:rFonts w:ascii="Arial" w:hAnsi="Arial" w:cs="Arial" w:hint="default"/>
        <w:sz w:val="24"/>
        <w:szCs w:val="24"/>
      </w:rPr>
    </w:lvl>
    <w:lvl w:ilvl="1">
      <w:start w:val="1"/>
      <w:numFmt w:val="decimal"/>
      <w:lvlText w:val="%1.%2."/>
      <w:lvlJc w:val="left"/>
      <w:pPr>
        <w:ind w:left="1701" w:hanging="992"/>
      </w:pPr>
      <w:rPr>
        <w:rFonts w:hint="default"/>
        <w:sz w:val="24"/>
        <w:szCs w:val="24"/>
      </w:rPr>
    </w:lvl>
    <w:lvl w:ilvl="2">
      <w:start w:val="1"/>
      <w:numFmt w:val="decimal"/>
      <w:lvlText w:val="%1.%2.%3."/>
      <w:lvlJc w:val="left"/>
      <w:pPr>
        <w:tabs>
          <w:tab w:val="num" w:pos="2835"/>
        </w:tabs>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3DA1ED8"/>
    <w:multiLevelType w:val="multilevel"/>
    <w:tmpl w:val="7F1258DE"/>
    <w:lvl w:ilvl="0">
      <w:start w:val="1"/>
      <w:numFmt w:val="decimal"/>
      <w:lvlText w:val="%1."/>
      <w:lvlJc w:val="left"/>
      <w:pPr>
        <w:ind w:left="927" w:hanging="360"/>
      </w:pPr>
      <w:rPr>
        <w:rFonts w:ascii="Times New Roman" w:hAnsi="Times New Roman" w:cs="Times New Roman" w:hint="default"/>
        <w:b w:val="0"/>
        <w:bCs w:val="0"/>
        <w:sz w:val="24"/>
        <w:szCs w:val="24"/>
      </w:rPr>
    </w:lvl>
    <w:lvl w:ilvl="1">
      <w:start w:val="1"/>
      <w:numFmt w:val="decimal"/>
      <w:lvlText w:val="%1.%2."/>
      <w:lvlJc w:val="left"/>
      <w:pPr>
        <w:ind w:left="1076" w:hanging="432"/>
      </w:pPr>
      <w:rPr>
        <w:b w:val="0"/>
        <w:bCs/>
        <w:strike w:val="0"/>
        <w:sz w:val="24"/>
        <w:szCs w:val="24"/>
      </w:rPr>
    </w:lvl>
    <w:lvl w:ilvl="2">
      <w:start w:val="1"/>
      <w:numFmt w:val="decimal"/>
      <w:lvlText w:val="%1.%2.%3."/>
      <w:lvlJc w:val="left"/>
      <w:pPr>
        <w:ind w:left="1508" w:hanging="504"/>
      </w:pPr>
      <w:rPr>
        <w:b w:val="0"/>
        <w:bCs w:val="0"/>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6" w15:restartNumberingAfterBreak="0">
    <w:nsid w:val="57C14155"/>
    <w:multiLevelType w:val="multilevel"/>
    <w:tmpl w:val="07CA1782"/>
    <w:lvl w:ilvl="0">
      <w:start w:val="1"/>
      <w:numFmt w:val="decimal"/>
      <w:lvlText w:val="%1."/>
      <w:lvlJc w:val="left"/>
      <w:pPr>
        <w:tabs>
          <w:tab w:val="num" w:pos="720"/>
        </w:tabs>
        <w:ind w:left="720" w:hanging="720"/>
      </w:pPr>
      <w:rPr>
        <w:rFonts w:cs="Times New Roman" w:hint="default"/>
        <w:b w:val="0"/>
        <w:i w:val="0"/>
        <w:sz w:val="24"/>
        <w:vertAlign w:val="baseline"/>
      </w:rPr>
    </w:lvl>
    <w:lvl w:ilvl="1">
      <w:start w:val="1"/>
      <w:numFmt w:val="decimal"/>
      <w:lvlText w:val="%1.%2."/>
      <w:lvlJc w:val="left"/>
      <w:pPr>
        <w:tabs>
          <w:tab w:val="num" w:pos="1701"/>
        </w:tabs>
        <w:ind w:left="1701" w:hanging="981"/>
      </w:pPr>
      <w:rPr>
        <w:rFonts w:cs="Times New Roman" w:hint="default"/>
        <w:b w:val="0"/>
        <w:i w:val="0"/>
        <w:vertAlign w:val="baseline"/>
      </w:rPr>
    </w:lvl>
    <w:lvl w:ilvl="2">
      <w:start w:val="1"/>
      <w:numFmt w:val="decimal"/>
      <w:lvlText w:val="%1.%2.%3."/>
      <w:lvlJc w:val="left"/>
      <w:pPr>
        <w:tabs>
          <w:tab w:val="num" w:pos="3119"/>
        </w:tabs>
        <w:ind w:left="3119" w:hanging="1418"/>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5CE45FF1"/>
    <w:multiLevelType w:val="multilevel"/>
    <w:tmpl w:val="528AD496"/>
    <w:lvl w:ilvl="0">
      <w:start w:val="1"/>
      <w:numFmt w:val="decimal"/>
      <w:pStyle w:val="XClause1Head"/>
      <w:isLgl/>
      <w:lvlText w:val="%1."/>
      <w:lvlJc w:val="left"/>
      <w:pPr>
        <w:tabs>
          <w:tab w:val="num" w:pos="720"/>
        </w:tabs>
        <w:ind w:left="720" w:hanging="720"/>
      </w:pPr>
      <w:rPr>
        <w:b w:val="0"/>
        <w:i w:val="0"/>
        <w:sz w:val="22"/>
        <w:szCs w:val="22"/>
      </w:rPr>
    </w:lvl>
    <w:lvl w:ilvl="1">
      <w:start w:val="1"/>
      <w:numFmt w:val="decimal"/>
      <w:lvlText w:val="%1.%2."/>
      <w:lvlJc w:val="left"/>
      <w:pPr>
        <w:tabs>
          <w:tab w:val="num" w:pos="1440"/>
        </w:tabs>
        <w:ind w:left="1440" w:hanging="720"/>
      </w:pPr>
      <w:rPr>
        <w:i w:val="0"/>
        <w:iCs w:val="0"/>
        <w:sz w:val="22"/>
        <w:szCs w:val="22"/>
      </w:rPr>
    </w:lvl>
    <w:lvl w:ilvl="2">
      <w:start w:val="1"/>
      <w:numFmt w:val="decimal"/>
      <w:lvlText w:val="%1.%2.%3."/>
      <w:lvlJc w:val="left"/>
      <w:pPr>
        <w:tabs>
          <w:tab w:val="num" w:pos="2552"/>
        </w:tabs>
        <w:ind w:left="2552" w:hanging="1112"/>
      </w:pPr>
    </w:lvl>
    <w:lvl w:ilvl="3">
      <w:start w:val="1"/>
      <w:numFmt w:val="decimal"/>
      <w:lvlText w:val="%1.%2.%3.%4."/>
      <w:lvlJc w:val="left"/>
      <w:pPr>
        <w:tabs>
          <w:tab w:val="num" w:pos="3600"/>
        </w:tabs>
        <w:ind w:left="3600" w:hanging="1048"/>
      </w:pPr>
    </w:lvl>
    <w:lvl w:ilvl="4">
      <w:start w:val="1"/>
      <w:numFmt w:val="decimal"/>
      <w:lvlText w:val="%1.%2.%3.%4.%5."/>
      <w:lvlJc w:val="left"/>
      <w:pPr>
        <w:tabs>
          <w:tab w:val="num" w:pos="5041"/>
        </w:tabs>
        <w:ind w:left="5041" w:hanging="1441"/>
      </w:pPr>
    </w:lvl>
    <w:lvl w:ilvl="5">
      <w:start w:val="1"/>
      <w:numFmt w:val="decimal"/>
      <w:lvlText w:val="%1.%2.%3.%4.%5.%6."/>
      <w:lvlJc w:val="left"/>
      <w:pPr>
        <w:tabs>
          <w:tab w:val="num" w:pos="6481"/>
        </w:tabs>
        <w:ind w:left="6481" w:hanging="1440"/>
      </w:pPr>
    </w:lvl>
    <w:lvl w:ilvl="6">
      <w:start w:val="1"/>
      <w:numFmt w:val="decimal"/>
      <w:lvlText w:val="%1.%2.%3.%4.%5.%6.%7."/>
      <w:lvlJc w:val="left"/>
      <w:pPr>
        <w:tabs>
          <w:tab w:val="num" w:pos="7201"/>
        </w:tabs>
        <w:ind w:left="7201" w:hanging="1871"/>
      </w:pPr>
    </w:lvl>
    <w:lvl w:ilvl="7">
      <w:start w:val="1"/>
      <w:numFmt w:val="decimal"/>
      <w:lvlText w:val="%1.%2.%3.%4.%5.%6.%7.%8."/>
      <w:lvlJc w:val="left"/>
      <w:pPr>
        <w:tabs>
          <w:tab w:val="num" w:pos="7921"/>
        </w:tabs>
        <w:ind w:left="7921" w:hanging="1967"/>
      </w:pPr>
    </w:lvl>
    <w:lvl w:ilvl="8">
      <w:start w:val="1"/>
      <w:numFmt w:val="decimal"/>
      <w:isLgl/>
      <w:lvlText w:val="%1.%2.%3.%4.%5.%6.%7.%8.%9."/>
      <w:lvlJc w:val="left"/>
      <w:pPr>
        <w:tabs>
          <w:tab w:val="num" w:pos="8222"/>
        </w:tabs>
        <w:ind w:left="8222" w:hanging="1730"/>
      </w:pPr>
    </w:lvl>
  </w:abstractNum>
  <w:abstractNum w:abstractNumId="18" w15:restartNumberingAfterBreak="0">
    <w:nsid w:val="631C7C90"/>
    <w:multiLevelType w:val="multilevel"/>
    <w:tmpl w:val="00AE5178"/>
    <w:styleLink w:val="CurrentList1"/>
    <w:lvl w:ilvl="0">
      <w:start w:val="1"/>
      <w:numFmt w:val="decimal"/>
      <w:lvlText w:val="%1."/>
      <w:lvlJc w:val="left"/>
      <w:pPr>
        <w:ind w:left="720" w:hanging="720"/>
      </w:pPr>
      <w:rPr>
        <w:rFonts w:ascii="Arial" w:hAnsi="Arial" w:cs="Arial" w:hint="default"/>
        <w:sz w:val="24"/>
        <w:szCs w:val="24"/>
      </w:rPr>
    </w:lvl>
    <w:lvl w:ilvl="1">
      <w:start w:val="1"/>
      <w:numFmt w:val="decimal"/>
      <w:lvlText w:val="%1.%2."/>
      <w:lvlJc w:val="left"/>
      <w:pPr>
        <w:tabs>
          <w:tab w:val="num" w:pos="924"/>
        </w:tabs>
        <w:ind w:left="1701" w:hanging="981"/>
      </w:pPr>
      <w:rPr>
        <w:rFonts w:hint="default"/>
        <w:sz w:val="24"/>
        <w:szCs w:val="24"/>
      </w:rPr>
    </w:lvl>
    <w:lvl w:ilvl="2">
      <w:start w:val="1"/>
      <w:numFmt w:val="decimal"/>
      <w:lvlText w:val="%1.%2.%3."/>
      <w:lvlJc w:val="left"/>
      <w:pPr>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64F2459"/>
    <w:multiLevelType w:val="multilevel"/>
    <w:tmpl w:val="4F5E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8863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2936256">
    <w:abstractNumId w:val="8"/>
  </w:num>
  <w:num w:numId="3" w16cid:durableId="2006005380">
    <w:abstractNumId w:val="2"/>
  </w:num>
  <w:num w:numId="4" w16cid:durableId="105278456">
    <w:abstractNumId w:val="12"/>
  </w:num>
  <w:num w:numId="5" w16cid:durableId="1301110761">
    <w:abstractNumId w:val="6"/>
  </w:num>
  <w:num w:numId="6" w16cid:durableId="1440948011">
    <w:abstractNumId w:val="15"/>
  </w:num>
  <w:num w:numId="7" w16cid:durableId="1979332963">
    <w:abstractNumId w:val="13"/>
  </w:num>
  <w:num w:numId="8" w16cid:durableId="979728510">
    <w:abstractNumId w:val="11"/>
  </w:num>
  <w:num w:numId="9" w16cid:durableId="1832016290">
    <w:abstractNumId w:val="18"/>
  </w:num>
  <w:num w:numId="10" w16cid:durableId="296957052">
    <w:abstractNumId w:val="10"/>
  </w:num>
  <w:num w:numId="11" w16cid:durableId="981957400">
    <w:abstractNumId w:val="9"/>
  </w:num>
  <w:num w:numId="12" w16cid:durableId="2021542845">
    <w:abstractNumId w:val="5"/>
  </w:num>
  <w:num w:numId="13" w16cid:durableId="1708725397">
    <w:abstractNumId w:val="3"/>
  </w:num>
  <w:num w:numId="14" w16cid:durableId="6102877">
    <w:abstractNumId w:val="1"/>
  </w:num>
  <w:num w:numId="15" w16cid:durableId="1993947681">
    <w:abstractNumId w:val="14"/>
  </w:num>
  <w:num w:numId="16" w16cid:durableId="1885940427">
    <w:abstractNumId w:val="4"/>
  </w:num>
  <w:num w:numId="17" w16cid:durableId="1580141410">
    <w:abstractNumId w:val="16"/>
  </w:num>
  <w:num w:numId="18" w16cid:durableId="430980286">
    <w:abstractNumId w:val="19"/>
  </w:num>
  <w:num w:numId="19" w16cid:durableId="869681641">
    <w:abstractNumId w:val="0"/>
  </w:num>
  <w:num w:numId="20" w16cid:durableId="19426863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DF"/>
    <w:rsid w:val="0000090B"/>
    <w:rsid w:val="000019F6"/>
    <w:rsid w:val="00002154"/>
    <w:rsid w:val="000023CE"/>
    <w:rsid w:val="0000292F"/>
    <w:rsid w:val="000036F7"/>
    <w:rsid w:val="0001165E"/>
    <w:rsid w:val="00011ED2"/>
    <w:rsid w:val="00013B34"/>
    <w:rsid w:val="00014024"/>
    <w:rsid w:val="00014338"/>
    <w:rsid w:val="0001546F"/>
    <w:rsid w:val="000156BD"/>
    <w:rsid w:val="00015C03"/>
    <w:rsid w:val="00015F7D"/>
    <w:rsid w:val="000163C0"/>
    <w:rsid w:val="0001640E"/>
    <w:rsid w:val="000173D5"/>
    <w:rsid w:val="00020F81"/>
    <w:rsid w:val="000210C0"/>
    <w:rsid w:val="000225BA"/>
    <w:rsid w:val="00023878"/>
    <w:rsid w:val="00025F76"/>
    <w:rsid w:val="00026BA0"/>
    <w:rsid w:val="00030075"/>
    <w:rsid w:val="0003187D"/>
    <w:rsid w:val="00031D96"/>
    <w:rsid w:val="00032510"/>
    <w:rsid w:val="0003273D"/>
    <w:rsid w:val="00032ACF"/>
    <w:rsid w:val="00033640"/>
    <w:rsid w:val="00033984"/>
    <w:rsid w:val="000341DF"/>
    <w:rsid w:val="000342CC"/>
    <w:rsid w:val="00035025"/>
    <w:rsid w:val="0003509A"/>
    <w:rsid w:val="000354AA"/>
    <w:rsid w:val="00035EF7"/>
    <w:rsid w:val="00036063"/>
    <w:rsid w:val="00037351"/>
    <w:rsid w:val="00040F55"/>
    <w:rsid w:val="0004117E"/>
    <w:rsid w:val="000421D6"/>
    <w:rsid w:val="000425D9"/>
    <w:rsid w:val="0004296C"/>
    <w:rsid w:val="000431CE"/>
    <w:rsid w:val="0004357E"/>
    <w:rsid w:val="00043B73"/>
    <w:rsid w:val="0004566A"/>
    <w:rsid w:val="00047126"/>
    <w:rsid w:val="0004714A"/>
    <w:rsid w:val="00050452"/>
    <w:rsid w:val="0005049C"/>
    <w:rsid w:val="00050FCE"/>
    <w:rsid w:val="000525B3"/>
    <w:rsid w:val="000528F6"/>
    <w:rsid w:val="00052DCA"/>
    <w:rsid w:val="000545A1"/>
    <w:rsid w:val="00054734"/>
    <w:rsid w:val="00054D5C"/>
    <w:rsid w:val="000551BB"/>
    <w:rsid w:val="000553A4"/>
    <w:rsid w:val="00055C05"/>
    <w:rsid w:val="00055F9B"/>
    <w:rsid w:val="00057840"/>
    <w:rsid w:val="000578FF"/>
    <w:rsid w:val="00060475"/>
    <w:rsid w:val="000605E9"/>
    <w:rsid w:val="00060C27"/>
    <w:rsid w:val="000619B4"/>
    <w:rsid w:val="00061C6A"/>
    <w:rsid w:val="00062B78"/>
    <w:rsid w:val="00062F2D"/>
    <w:rsid w:val="00064A99"/>
    <w:rsid w:val="00064EEF"/>
    <w:rsid w:val="00064FF2"/>
    <w:rsid w:val="00065EF3"/>
    <w:rsid w:val="00066798"/>
    <w:rsid w:val="00067108"/>
    <w:rsid w:val="00070312"/>
    <w:rsid w:val="00070344"/>
    <w:rsid w:val="00070CB9"/>
    <w:rsid w:val="0007166C"/>
    <w:rsid w:val="000751CB"/>
    <w:rsid w:val="000757FA"/>
    <w:rsid w:val="00076946"/>
    <w:rsid w:val="00076BDF"/>
    <w:rsid w:val="00077799"/>
    <w:rsid w:val="00077B1D"/>
    <w:rsid w:val="00077BFA"/>
    <w:rsid w:val="00077CDF"/>
    <w:rsid w:val="000806E2"/>
    <w:rsid w:val="00080ABD"/>
    <w:rsid w:val="00080DBE"/>
    <w:rsid w:val="000833E5"/>
    <w:rsid w:val="000841EC"/>
    <w:rsid w:val="000844F0"/>
    <w:rsid w:val="00084ACD"/>
    <w:rsid w:val="000861DE"/>
    <w:rsid w:val="000863FE"/>
    <w:rsid w:val="00086CFA"/>
    <w:rsid w:val="00086FFE"/>
    <w:rsid w:val="0008733A"/>
    <w:rsid w:val="000904DF"/>
    <w:rsid w:val="00092E24"/>
    <w:rsid w:val="00093649"/>
    <w:rsid w:val="00093794"/>
    <w:rsid w:val="0009406F"/>
    <w:rsid w:val="000946F7"/>
    <w:rsid w:val="00094AFE"/>
    <w:rsid w:val="0009511E"/>
    <w:rsid w:val="00095903"/>
    <w:rsid w:val="00095D01"/>
    <w:rsid w:val="00096F2F"/>
    <w:rsid w:val="000A0AD0"/>
    <w:rsid w:val="000A0F31"/>
    <w:rsid w:val="000A2935"/>
    <w:rsid w:val="000A32CC"/>
    <w:rsid w:val="000A3DA1"/>
    <w:rsid w:val="000A4F8F"/>
    <w:rsid w:val="000A59F3"/>
    <w:rsid w:val="000A5E8D"/>
    <w:rsid w:val="000A68B0"/>
    <w:rsid w:val="000A7341"/>
    <w:rsid w:val="000A7A0A"/>
    <w:rsid w:val="000A7A21"/>
    <w:rsid w:val="000B16FC"/>
    <w:rsid w:val="000B1778"/>
    <w:rsid w:val="000B45F6"/>
    <w:rsid w:val="000B48A6"/>
    <w:rsid w:val="000B4D3C"/>
    <w:rsid w:val="000B5234"/>
    <w:rsid w:val="000B5783"/>
    <w:rsid w:val="000B5A1F"/>
    <w:rsid w:val="000B6860"/>
    <w:rsid w:val="000B6BCC"/>
    <w:rsid w:val="000B7A13"/>
    <w:rsid w:val="000C0DEC"/>
    <w:rsid w:val="000C21CC"/>
    <w:rsid w:val="000C2F93"/>
    <w:rsid w:val="000C354C"/>
    <w:rsid w:val="000C567F"/>
    <w:rsid w:val="000C6E4C"/>
    <w:rsid w:val="000C74A9"/>
    <w:rsid w:val="000D12EA"/>
    <w:rsid w:val="000D1825"/>
    <w:rsid w:val="000D42FC"/>
    <w:rsid w:val="000D478E"/>
    <w:rsid w:val="000D4EA5"/>
    <w:rsid w:val="000D5E3A"/>
    <w:rsid w:val="000D77BF"/>
    <w:rsid w:val="000E3505"/>
    <w:rsid w:val="000E4B99"/>
    <w:rsid w:val="000E519E"/>
    <w:rsid w:val="000E5B9F"/>
    <w:rsid w:val="000E6491"/>
    <w:rsid w:val="000E6D05"/>
    <w:rsid w:val="000E7301"/>
    <w:rsid w:val="000E75DC"/>
    <w:rsid w:val="000E78B7"/>
    <w:rsid w:val="000E78CA"/>
    <w:rsid w:val="000E7B92"/>
    <w:rsid w:val="000E7C57"/>
    <w:rsid w:val="000E7DDA"/>
    <w:rsid w:val="000F0598"/>
    <w:rsid w:val="000F0EBB"/>
    <w:rsid w:val="000F0F70"/>
    <w:rsid w:val="000F1512"/>
    <w:rsid w:val="000F161F"/>
    <w:rsid w:val="000F1C3D"/>
    <w:rsid w:val="000F2343"/>
    <w:rsid w:val="000F31B5"/>
    <w:rsid w:val="000F39BC"/>
    <w:rsid w:val="000F3E22"/>
    <w:rsid w:val="000F6054"/>
    <w:rsid w:val="000F60E7"/>
    <w:rsid w:val="0010052B"/>
    <w:rsid w:val="00100778"/>
    <w:rsid w:val="001021D9"/>
    <w:rsid w:val="0010300A"/>
    <w:rsid w:val="0010331F"/>
    <w:rsid w:val="00103D1C"/>
    <w:rsid w:val="00103D4C"/>
    <w:rsid w:val="0010592B"/>
    <w:rsid w:val="0010665D"/>
    <w:rsid w:val="001068BE"/>
    <w:rsid w:val="00106CF8"/>
    <w:rsid w:val="0010793B"/>
    <w:rsid w:val="0011035A"/>
    <w:rsid w:val="00111817"/>
    <w:rsid w:val="0011275C"/>
    <w:rsid w:val="001129C8"/>
    <w:rsid w:val="00113F9D"/>
    <w:rsid w:val="001148DA"/>
    <w:rsid w:val="001150C8"/>
    <w:rsid w:val="001156A2"/>
    <w:rsid w:val="001157DD"/>
    <w:rsid w:val="00115ACF"/>
    <w:rsid w:val="0011695B"/>
    <w:rsid w:val="00116D28"/>
    <w:rsid w:val="00116E70"/>
    <w:rsid w:val="001172D0"/>
    <w:rsid w:val="00117386"/>
    <w:rsid w:val="0011762D"/>
    <w:rsid w:val="00117BCB"/>
    <w:rsid w:val="00117D17"/>
    <w:rsid w:val="0012100D"/>
    <w:rsid w:val="0012156A"/>
    <w:rsid w:val="00121F78"/>
    <w:rsid w:val="00122406"/>
    <w:rsid w:val="00123663"/>
    <w:rsid w:val="001236DD"/>
    <w:rsid w:val="001238D0"/>
    <w:rsid w:val="001247CA"/>
    <w:rsid w:val="00124F32"/>
    <w:rsid w:val="00126396"/>
    <w:rsid w:val="001265DE"/>
    <w:rsid w:val="0012750C"/>
    <w:rsid w:val="001277A1"/>
    <w:rsid w:val="001278A2"/>
    <w:rsid w:val="001307A0"/>
    <w:rsid w:val="00131111"/>
    <w:rsid w:val="001318A4"/>
    <w:rsid w:val="0013333E"/>
    <w:rsid w:val="001358FA"/>
    <w:rsid w:val="00137E57"/>
    <w:rsid w:val="00143CCB"/>
    <w:rsid w:val="00144DB6"/>
    <w:rsid w:val="001452C9"/>
    <w:rsid w:val="00145B24"/>
    <w:rsid w:val="00146491"/>
    <w:rsid w:val="00150CFD"/>
    <w:rsid w:val="00151B24"/>
    <w:rsid w:val="00153F2D"/>
    <w:rsid w:val="001543CB"/>
    <w:rsid w:val="001550B1"/>
    <w:rsid w:val="00155E07"/>
    <w:rsid w:val="0015610A"/>
    <w:rsid w:val="001570FA"/>
    <w:rsid w:val="00157489"/>
    <w:rsid w:val="00160281"/>
    <w:rsid w:val="00160395"/>
    <w:rsid w:val="0016060F"/>
    <w:rsid w:val="001610B7"/>
    <w:rsid w:val="001619FD"/>
    <w:rsid w:val="00162A5E"/>
    <w:rsid w:val="0016315A"/>
    <w:rsid w:val="00163B6D"/>
    <w:rsid w:val="00164502"/>
    <w:rsid w:val="00165B14"/>
    <w:rsid w:val="00166063"/>
    <w:rsid w:val="00166097"/>
    <w:rsid w:val="0016612C"/>
    <w:rsid w:val="00166683"/>
    <w:rsid w:val="00167127"/>
    <w:rsid w:val="001674CA"/>
    <w:rsid w:val="00167558"/>
    <w:rsid w:val="00167BAA"/>
    <w:rsid w:val="001704F0"/>
    <w:rsid w:val="00170763"/>
    <w:rsid w:val="00170886"/>
    <w:rsid w:val="001711FD"/>
    <w:rsid w:val="001713B5"/>
    <w:rsid w:val="001719CE"/>
    <w:rsid w:val="00174A2B"/>
    <w:rsid w:val="00174FA5"/>
    <w:rsid w:val="00176E84"/>
    <w:rsid w:val="00177B38"/>
    <w:rsid w:val="001809DF"/>
    <w:rsid w:val="00180E98"/>
    <w:rsid w:val="00181616"/>
    <w:rsid w:val="00182710"/>
    <w:rsid w:val="00182982"/>
    <w:rsid w:val="00183152"/>
    <w:rsid w:val="00183A7D"/>
    <w:rsid w:val="00184127"/>
    <w:rsid w:val="0018456F"/>
    <w:rsid w:val="001847ED"/>
    <w:rsid w:val="0018491A"/>
    <w:rsid w:val="00186A7A"/>
    <w:rsid w:val="0018770B"/>
    <w:rsid w:val="00187B0B"/>
    <w:rsid w:val="001903B0"/>
    <w:rsid w:val="001906CF"/>
    <w:rsid w:val="00190A60"/>
    <w:rsid w:val="00191916"/>
    <w:rsid w:val="0019220A"/>
    <w:rsid w:val="00193772"/>
    <w:rsid w:val="00193BDA"/>
    <w:rsid w:val="00193EA7"/>
    <w:rsid w:val="00193EEC"/>
    <w:rsid w:val="00195666"/>
    <w:rsid w:val="001960E9"/>
    <w:rsid w:val="001964AC"/>
    <w:rsid w:val="00196B3F"/>
    <w:rsid w:val="0019715E"/>
    <w:rsid w:val="001A0CE4"/>
    <w:rsid w:val="001A117F"/>
    <w:rsid w:val="001A2818"/>
    <w:rsid w:val="001A2E44"/>
    <w:rsid w:val="001A4DAA"/>
    <w:rsid w:val="001A5F8D"/>
    <w:rsid w:val="001A64E3"/>
    <w:rsid w:val="001A72B6"/>
    <w:rsid w:val="001A7BE9"/>
    <w:rsid w:val="001B1009"/>
    <w:rsid w:val="001B1D96"/>
    <w:rsid w:val="001B3917"/>
    <w:rsid w:val="001B3929"/>
    <w:rsid w:val="001B4EDB"/>
    <w:rsid w:val="001B51D2"/>
    <w:rsid w:val="001B5BF3"/>
    <w:rsid w:val="001B5EDD"/>
    <w:rsid w:val="001B65F4"/>
    <w:rsid w:val="001B6739"/>
    <w:rsid w:val="001B6A1B"/>
    <w:rsid w:val="001B6D76"/>
    <w:rsid w:val="001B74F6"/>
    <w:rsid w:val="001B7B92"/>
    <w:rsid w:val="001C1C6C"/>
    <w:rsid w:val="001C1EF4"/>
    <w:rsid w:val="001C39FA"/>
    <w:rsid w:val="001C6E74"/>
    <w:rsid w:val="001C7725"/>
    <w:rsid w:val="001D01F4"/>
    <w:rsid w:val="001D3214"/>
    <w:rsid w:val="001D4537"/>
    <w:rsid w:val="001D48D6"/>
    <w:rsid w:val="001D7F3B"/>
    <w:rsid w:val="001E0148"/>
    <w:rsid w:val="001E0629"/>
    <w:rsid w:val="001E25FE"/>
    <w:rsid w:val="001E2C0E"/>
    <w:rsid w:val="001E332F"/>
    <w:rsid w:val="001E6002"/>
    <w:rsid w:val="001E6A21"/>
    <w:rsid w:val="001E75E6"/>
    <w:rsid w:val="001E765C"/>
    <w:rsid w:val="001E78BE"/>
    <w:rsid w:val="001E79DE"/>
    <w:rsid w:val="001F005D"/>
    <w:rsid w:val="001F0D61"/>
    <w:rsid w:val="001F12A1"/>
    <w:rsid w:val="001F1900"/>
    <w:rsid w:val="001F2E1F"/>
    <w:rsid w:val="001F35DB"/>
    <w:rsid w:val="001F3B09"/>
    <w:rsid w:val="001F41A8"/>
    <w:rsid w:val="001F5239"/>
    <w:rsid w:val="001F52B4"/>
    <w:rsid w:val="001F5DFF"/>
    <w:rsid w:val="001F694E"/>
    <w:rsid w:val="001F75E0"/>
    <w:rsid w:val="001F796A"/>
    <w:rsid w:val="00200473"/>
    <w:rsid w:val="00200546"/>
    <w:rsid w:val="002009CE"/>
    <w:rsid w:val="00200AC1"/>
    <w:rsid w:val="00201010"/>
    <w:rsid w:val="00201612"/>
    <w:rsid w:val="00202EF4"/>
    <w:rsid w:val="00203242"/>
    <w:rsid w:val="00204065"/>
    <w:rsid w:val="00204D0A"/>
    <w:rsid w:val="00204F22"/>
    <w:rsid w:val="00205188"/>
    <w:rsid w:val="002052CE"/>
    <w:rsid w:val="00205D3A"/>
    <w:rsid w:val="002072DB"/>
    <w:rsid w:val="0020760C"/>
    <w:rsid w:val="00210A7F"/>
    <w:rsid w:val="00210DFB"/>
    <w:rsid w:val="00211189"/>
    <w:rsid w:val="00211A89"/>
    <w:rsid w:val="00211B87"/>
    <w:rsid w:val="00212467"/>
    <w:rsid w:val="00212E67"/>
    <w:rsid w:val="00215E6F"/>
    <w:rsid w:val="002165C9"/>
    <w:rsid w:val="002170F0"/>
    <w:rsid w:val="0021771E"/>
    <w:rsid w:val="00217849"/>
    <w:rsid w:val="00220DF1"/>
    <w:rsid w:val="00220EBF"/>
    <w:rsid w:val="00221E76"/>
    <w:rsid w:val="002232CD"/>
    <w:rsid w:val="002238AA"/>
    <w:rsid w:val="00223C9F"/>
    <w:rsid w:val="00223E69"/>
    <w:rsid w:val="00224190"/>
    <w:rsid w:val="002251EE"/>
    <w:rsid w:val="00225D5E"/>
    <w:rsid w:val="0022637E"/>
    <w:rsid w:val="00230D97"/>
    <w:rsid w:val="0023191A"/>
    <w:rsid w:val="00231E2E"/>
    <w:rsid w:val="00233A6C"/>
    <w:rsid w:val="00233EBE"/>
    <w:rsid w:val="00235A17"/>
    <w:rsid w:val="00235A53"/>
    <w:rsid w:val="002361E5"/>
    <w:rsid w:val="002365F1"/>
    <w:rsid w:val="00237376"/>
    <w:rsid w:val="00237D06"/>
    <w:rsid w:val="0024017D"/>
    <w:rsid w:val="002410A0"/>
    <w:rsid w:val="00241891"/>
    <w:rsid w:val="00241D94"/>
    <w:rsid w:val="00242394"/>
    <w:rsid w:val="0024247B"/>
    <w:rsid w:val="002427EF"/>
    <w:rsid w:val="00245B72"/>
    <w:rsid w:val="00246A27"/>
    <w:rsid w:val="00250374"/>
    <w:rsid w:val="00251698"/>
    <w:rsid w:val="00251872"/>
    <w:rsid w:val="002521DC"/>
    <w:rsid w:val="00255D1F"/>
    <w:rsid w:val="0025606B"/>
    <w:rsid w:val="00256216"/>
    <w:rsid w:val="002567BA"/>
    <w:rsid w:val="00257CEF"/>
    <w:rsid w:val="0026048D"/>
    <w:rsid w:val="00260D4F"/>
    <w:rsid w:val="00260E89"/>
    <w:rsid w:val="00261524"/>
    <w:rsid w:val="00261D55"/>
    <w:rsid w:val="00262444"/>
    <w:rsid w:val="002624B2"/>
    <w:rsid w:val="00262868"/>
    <w:rsid w:val="0026371B"/>
    <w:rsid w:val="0026577F"/>
    <w:rsid w:val="002674A9"/>
    <w:rsid w:val="002679F7"/>
    <w:rsid w:val="00270160"/>
    <w:rsid w:val="00271974"/>
    <w:rsid w:val="00271B90"/>
    <w:rsid w:val="00271BA7"/>
    <w:rsid w:val="0027232F"/>
    <w:rsid w:val="002727D6"/>
    <w:rsid w:val="00272E38"/>
    <w:rsid w:val="0027322E"/>
    <w:rsid w:val="002734A8"/>
    <w:rsid w:val="00273B47"/>
    <w:rsid w:val="002743A0"/>
    <w:rsid w:val="002743BD"/>
    <w:rsid w:val="00274756"/>
    <w:rsid w:val="00275763"/>
    <w:rsid w:val="00275940"/>
    <w:rsid w:val="00275A0D"/>
    <w:rsid w:val="00276249"/>
    <w:rsid w:val="00276D43"/>
    <w:rsid w:val="00276D9C"/>
    <w:rsid w:val="00277BD6"/>
    <w:rsid w:val="002803AB"/>
    <w:rsid w:val="0028110F"/>
    <w:rsid w:val="00285A6C"/>
    <w:rsid w:val="0028782A"/>
    <w:rsid w:val="002902A2"/>
    <w:rsid w:val="002908D0"/>
    <w:rsid w:val="00290A57"/>
    <w:rsid w:val="00290CDB"/>
    <w:rsid w:val="00291AB9"/>
    <w:rsid w:val="002923CA"/>
    <w:rsid w:val="0029247A"/>
    <w:rsid w:val="00295563"/>
    <w:rsid w:val="00295FC3"/>
    <w:rsid w:val="00296AEB"/>
    <w:rsid w:val="00296CB3"/>
    <w:rsid w:val="00296D68"/>
    <w:rsid w:val="0029701E"/>
    <w:rsid w:val="002974A2"/>
    <w:rsid w:val="00297B91"/>
    <w:rsid w:val="002A0B04"/>
    <w:rsid w:val="002A11F0"/>
    <w:rsid w:val="002A2AF0"/>
    <w:rsid w:val="002A2D57"/>
    <w:rsid w:val="002A37C8"/>
    <w:rsid w:val="002A5A25"/>
    <w:rsid w:val="002A62F0"/>
    <w:rsid w:val="002A660F"/>
    <w:rsid w:val="002A6C14"/>
    <w:rsid w:val="002B085E"/>
    <w:rsid w:val="002B19F5"/>
    <w:rsid w:val="002B1DC0"/>
    <w:rsid w:val="002B26ED"/>
    <w:rsid w:val="002B282F"/>
    <w:rsid w:val="002B2D75"/>
    <w:rsid w:val="002B4FA4"/>
    <w:rsid w:val="002B503F"/>
    <w:rsid w:val="002B54E5"/>
    <w:rsid w:val="002B58CF"/>
    <w:rsid w:val="002B6A69"/>
    <w:rsid w:val="002B7A82"/>
    <w:rsid w:val="002B7C95"/>
    <w:rsid w:val="002C047B"/>
    <w:rsid w:val="002C08F6"/>
    <w:rsid w:val="002C1483"/>
    <w:rsid w:val="002C1739"/>
    <w:rsid w:val="002C2292"/>
    <w:rsid w:val="002C25D2"/>
    <w:rsid w:val="002C3A95"/>
    <w:rsid w:val="002C44BE"/>
    <w:rsid w:val="002C62F5"/>
    <w:rsid w:val="002C6A1C"/>
    <w:rsid w:val="002C6ADE"/>
    <w:rsid w:val="002C6C5C"/>
    <w:rsid w:val="002C6C7C"/>
    <w:rsid w:val="002C702C"/>
    <w:rsid w:val="002C74F9"/>
    <w:rsid w:val="002C7F44"/>
    <w:rsid w:val="002D071C"/>
    <w:rsid w:val="002D0BA4"/>
    <w:rsid w:val="002D2B82"/>
    <w:rsid w:val="002D2BAA"/>
    <w:rsid w:val="002D496E"/>
    <w:rsid w:val="002D5741"/>
    <w:rsid w:val="002D5ACA"/>
    <w:rsid w:val="002D5DB8"/>
    <w:rsid w:val="002D6818"/>
    <w:rsid w:val="002D6FDB"/>
    <w:rsid w:val="002D70E9"/>
    <w:rsid w:val="002D7701"/>
    <w:rsid w:val="002E23FC"/>
    <w:rsid w:val="002E306D"/>
    <w:rsid w:val="002E3206"/>
    <w:rsid w:val="002E3CCF"/>
    <w:rsid w:val="002E4DF8"/>
    <w:rsid w:val="002E5E30"/>
    <w:rsid w:val="002E6190"/>
    <w:rsid w:val="002E663E"/>
    <w:rsid w:val="002E6A00"/>
    <w:rsid w:val="002E7598"/>
    <w:rsid w:val="002E75F2"/>
    <w:rsid w:val="002E7A2F"/>
    <w:rsid w:val="002F02AF"/>
    <w:rsid w:val="002F1A44"/>
    <w:rsid w:val="002F21F1"/>
    <w:rsid w:val="002F2704"/>
    <w:rsid w:val="002F294F"/>
    <w:rsid w:val="002F4022"/>
    <w:rsid w:val="002F42F5"/>
    <w:rsid w:val="002F46E1"/>
    <w:rsid w:val="002F5142"/>
    <w:rsid w:val="002F5B45"/>
    <w:rsid w:val="002F6239"/>
    <w:rsid w:val="002F6A14"/>
    <w:rsid w:val="002F7175"/>
    <w:rsid w:val="002F79DE"/>
    <w:rsid w:val="0030206F"/>
    <w:rsid w:val="00302888"/>
    <w:rsid w:val="003036B6"/>
    <w:rsid w:val="00303E2C"/>
    <w:rsid w:val="00305259"/>
    <w:rsid w:val="00305906"/>
    <w:rsid w:val="0030735F"/>
    <w:rsid w:val="00307DC9"/>
    <w:rsid w:val="0031021D"/>
    <w:rsid w:val="0031126E"/>
    <w:rsid w:val="0031222E"/>
    <w:rsid w:val="00312A91"/>
    <w:rsid w:val="00312AA1"/>
    <w:rsid w:val="00312C2B"/>
    <w:rsid w:val="00313679"/>
    <w:rsid w:val="00314893"/>
    <w:rsid w:val="0031532D"/>
    <w:rsid w:val="00316822"/>
    <w:rsid w:val="00317348"/>
    <w:rsid w:val="003176E6"/>
    <w:rsid w:val="00317FBF"/>
    <w:rsid w:val="00320085"/>
    <w:rsid w:val="00320BAB"/>
    <w:rsid w:val="0032213B"/>
    <w:rsid w:val="003234BD"/>
    <w:rsid w:val="003248DC"/>
    <w:rsid w:val="00324FD2"/>
    <w:rsid w:val="00326262"/>
    <w:rsid w:val="00326F81"/>
    <w:rsid w:val="003303D7"/>
    <w:rsid w:val="003322B3"/>
    <w:rsid w:val="003322E7"/>
    <w:rsid w:val="00333305"/>
    <w:rsid w:val="00334515"/>
    <w:rsid w:val="003362BC"/>
    <w:rsid w:val="00336E25"/>
    <w:rsid w:val="00337233"/>
    <w:rsid w:val="00337A17"/>
    <w:rsid w:val="003408EC"/>
    <w:rsid w:val="00340BA5"/>
    <w:rsid w:val="00342D61"/>
    <w:rsid w:val="0034339B"/>
    <w:rsid w:val="00343685"/>
    <w:rsid w:val="00343CDA"/>
    <w:rsid w:val="003441DA"/>
    <w:rsid w:val="0034424D"/>
    <w:rsid w:val="00345147"/>
    <w:rsid w:val="00345B4F"/>
    <w:rsid w:val="003469F3"/>
    <w:rsid w:val="00347083"/>
    <w:rsid w:val="0034744A"/>
    <w:rsid w:val="00347922"/>
    <w:rsid w:val="003500DD"/>
    <w:rsid w:val="003502C7"/>
    <w:rsid w:val="003504A0"/>
    <w:rsid w:val="00350A0E"/>
    <w:rsid w:val="003545FA"/>
    <w:rsid w:val="00354762"/>
    <w:rsid w:val="00355650"/>
    <w:rsid w:val="003556A0"/>
    <w:rsid w:val="00355A9F"/>
    <w:rsid w:val="00355ACE"/>
    <w:rsid w:val="00356842"/>
    <w:rsid w:val="00357717"/>
    <w:rsid w:val="00357CA8"/>
    <w:rsid w:val="00357CC2"/>
    <w:rsid w:val="00360B67"/>
    <w:rsid w:val="003610E3"/>
    <w:rsid w:val="00361492"/>
    <w:rsid w:val="003618D6"/>
    <w:rsid w:val="0036192E"/>
    <w:rsid w:val="00362205"/>
    <w:rsid w:val="00363274"/>
    <w:rsid w:val="00363799"/>
    <w:rsid w:val="003637FE"/>
    <w:rsid w:val="00363D27"/>
    <w:rsid w:val="00364895"/>
    <w:rsid w:val="00364DC7"/>
    <w:rsid w:val="003665F1"/>
    <w:rsid w:val="00366F13"/>
    <w:rsid w:val="00367506"/>
    <w:rsid w:val="00367B35"/>
    <w:rsid w:val="00367BA7"/>
    <w:rsid w:val="00367D51"/>
    <w:rsid w:val="00370292"/>
    <w:rsid w:val="003706C0"/>
    <w:rsid w:val="00370A91"/>
    <w:rsid w:val="003729EA"/>
    <w:rsid w:val="003731D2"/>
    <w:rsid w:val="00373877"/>
    <w:rsid w:val="00373AF8"/>
    <w:rsid w:val="003754BB"/>
    <w:rsid w:val="003755E1"/>
    <w:rsid w:val="00377C08"/>
    <w:rsid w:val="00377C70"/>
    <w:rsid w:val="00377DF8"/>
    <w:rsid w:val="00380A80"/>
    <w:rsid w:val="00380D59"/>
    <w:rsid w:val="003813B2"/>
    <w:rsid w:val="00382643"/>
    <w:rsid w:val="00382AC2"/>
    <w:rsid w:val="00384461"/>
    <w:rsid w:val="00384652"/>
    <w:rsid w:val="00385C28"/>
    <w:rsid w:val="00385D97"/>
    <w:rsid w:val="0038681F"/>
    <w:rsid w:val="0038736A"/>
    <w:rsid w:val="003906DA"/>
    <w:rsid w:val="0039195B"/>
    <w:rsid w:val="00393065"/>
    <w:rsid w:val="003947C9"/>
    <w:rsid w:val="00394C11"/>
    <w:rsid w:val="00394FE6"/>
    <w:rsid w:val="0039535C"/>
    <w:rsid w:val="003958D9"/>
    <w:rsid w:val="00395A65"/>
    <w:rsid w:val="00395B0F"/>
    <w:rsid w:val="0039678F"/>
    <w:rsid w:val="00397CFC"/>
    <w:rsid w:val="003A054C"/>
    <w:rsid w:val="003A0589"/>
    <w:rsid w:val="003A05E3"/>
    <w:rsid w:val="003A08A2"/>
    <w:rsid w:val="003A0BFD"/>
    <w:rsid w:val="003A0C5C"/>
    <w:rsid w:val="003A0D56"/>
    <w:rsid w:val="003A0F84"/>
    <w:rsid w:val="003A26DB"/>
    <w:rsid w:val="003A3317"/>
    <w:rsid w:val="003A4E52"/>
    <w:rsid w:val="003A4F3D"/>
    <w:rsid w:val="003A58F5"/>
    <w:rsid w:val="003A5944"/>
    <w:rsid w:val="003A6195"/>
    <w:rsid w:val="003A7510"/>
    <w:rsid w:val="003A75AA"/>
    <w:rsid w:val="003B034C"/>
    <w:rsid w:val="003B0EFF"/>
    <w:rsid w:val="003B15F0"/>
    <w:rsid w:val="003B1AD3"/>
    <w:rsid w:val="003B1F82"/>
    <w:rsid w:val="003B4C63"/>
    <w:rsid w:val="003B6750"/>
    <w:rsid w:val="003B6EAC"/>
    <w:rsid w:val="003B766E"/>
    <w:rsid w:val="003C06C6"/>
    <w:rsid w:val="003C2BC4"/>
    <w:rsid w:val="003C2F96"/>
    <w:rsid w:val="003C3482"/>
    <w:rsid w:val="003C3537"/>
    <w:rsid w:val="003C5077"/>
    <w:rsid w:val="003C58CF"/>
    <w:rsid w:val="003C5DD4"/>
    <w:rsid w:val="003C63DB"/>
    <w:rsid w:val="003C7046"/>
    <w:rsid w:val="003C72CA"/>
    <w:rsid w:val="003D441D"/>
    <w:rsid w:val="003D4556"/>
    <w:rsid w:val="003D51CD"/>
    <w:rsid w:val="003D5DC9"/>
    <w:rsid w:val="003D6285"/>
    <w:rsid w:val="003D6330"/>
    <w:rsid w:val="003D6A4C"/>
    <w:rsid w:val="003D6F2C"/>
    <w:rsid w:val="003E1C86"/>
    <w:rsid w:val="003E34B2"/>
    <w:rsid w:val="003E3AD0"/>
    <w:rsid w:val="003E7487"/>
    <w:rsid w:val="003F0A66"/>
    <w:rsid w:val="003F1977"/>
    <w:rsid w:val="003F1CD1"/>
    <w:rsid w:val="003F1EF4"/>
    <w:rsid w:val="003F27D3"/>
    <w:rsid w:val="003F406F"/>
    <w:rsid w:val="003F43CD"/>
    <w:rsid w:val="003F4E87"/>
    <w:rsid w:val="003F6241"/>
    <w:rsid w:val="0040076A"/>
    <w:rsid w:val="00401E9F"/>
    <w:rsid w:val="00402476"/>
    <w:rsid w:val="00402734"/>
    <w:rsid w:val="00402F95"/>
    <w:rsid w:val="00404C50"/>
    <w:rsid w:val="00405419"/>
    <w:rsid w:val="00405BC5"/>
    <w:rsid w:val="00405DAA"/>
    <w:rsid w:val="00405F00"/>
    <w:rsid w:val="004071EF"/>
    <w:rsid w:val="004104B0"/>
    <w:rsid w:val="00412497"/>
    <w:rsid w:val="004131FB"/>
    <w:rsid w:val="0041391F"/>
    <w:rsid w:val="00414368"/>
    <w:rsid w:val="004151C7"/>
    <w:rsid w:val="0041556C"/>
    <w:rsid w:val="0041613D"/>
    <w:rsid w:val="00416356"/>
    <w:rsid w:val="00416929"/>
    <w:rsid w:val="004169BA"/>
    <w:rsid w:val="00416D8F"/>
    <w:rsid w:val="00420325"/>
    <w:rsid w:val="004207E7"/>
    <w:rsid w:val="004208D6"/>
    <w:rsid w:val="004216BD"/>
    <w:rsid w:val="00421753"/>
    <w:rsid w:val="00421791"/>
    <w:rsid w:val="004217BD"/>
    <w:rsid w:val="00422A96"/>
    <w:rsid w:val="00422FA7"/>
    <w:rsid w:val="00426678"/>
    <w:rsid w:val="00430C92"/>
    <w:rsid w:val="00431285"/>
    <w:rsid w:val="00432C07"/>
    <w:rsid w:val="004338BF"/>
    <w:rsid w:val="00433AF9"/>
    <w:rsid w:val="00433FC2"/>
    <w:rsid w:val="004351F5"/>
    <w:rsid w:val="004366F6"/>
    <w:rsid w:val="00437C17"/>
    <w:rsid w:val="00441386"/>
    <w:rsid w:val="00441C4B"/>
    <w:rsid w:val="00441C6A"/>
    <w:rsid w:val="00441F82"/>
    <w:rsid w:val="004438C7"/>
    <w:rsid w:val="00443B59"/>
    <w:rsid w:val="0044471B"/>
    <w:rsid w:val="00444807"/>
    <w:rsid w:val="00444F10"/>
    <w:rsid w:val="00446B11"/>
    <w:rsid w:val="00446D62"/>
    <w:rsid w:val="00450D4D"/>
    <w:rsid w:val="00452C91"/>
    <w:rsid w:val="00454A26"/>
    <w:rsid w:val="00454D72"/>
    <w:rsid w:val="00457782"/>
    <w:rsid w:val="004608E3"/>
    <w:rsid w:val="004616D8"/>
    <w:rsid w:val="00462178"/>
    <w:rsid w:val="00462C54"/>
    <w:rsid w:val="00462D3B"/>
    <w:rsid w:val="00463D22"/>
    <w:rsid w:val="00466617"/>
    <w:rsid w:val="0046705F"/>
    <w:rsid w:val="00467408"/>
    <w:rsid w:val="00467830"/>
    <w:rsid w:val="0047051F"/>
    <w:rsid w:val="004712D3"/>
    <w:rsid w:val="00471A13"/>
    <w:rsid w:val="00471A37"/>
    <w:rsid w:val="004725E5"/>
    <w:rsid w:val="00473E0A"/>
    <w:rsid w:val="0047408A"/>
    <w:rsid w:val="004744DA"/>
    <w:rsid w:val="0047544E"/>
    <w:rsid w:val="00475B60"/>
    <w:rsid w:val="00476C24"/>
    <w:rsid w:val="00476EAE"/>
    <w:rsid w:val="00477269"/>
    <w:rsid w:val="0047755D"/>
    <w:rsid w:val="00477594"/>
    <w:rsid w:val="004776E3"/>
    <w:rsid w:val="00480C7D"/>
    <w:rsid w:val="0048247A"/>
    <w:rsid w:val="004829D8"/>
    <w:rsid w:val="00482B3C"/>
    <w:rsid w:val="0048349E"/>
    <w:rsid w:val="00483A9C"/>
    <w:rsid w:val="0048422F"/>
    <w:rsid w:val="0048460C"/>
    <w:rsid w:val="00484E2F"/>
    <w:rsid w:val="00485C85"/>
    <w:rsid w:val="00485CEE"/>
    <w:rsid w:val="00486738"/>
    <w:rsid w:val="00486EEA"/>
    <w:rsid w:val="00487F77"/>
    <w:rsid w:val="00490AB8"/>
    <w:rsid w:val="00490B61"/>
    <w:rsid w:val="00490CB8"/>
    <w:rsid w:val="00491152"/>
    <w:rsid w:val="0049116B"/>
    <w:rsid w:val="004923FC"/>
    <w:rsid w:val="0049249A"/>
    <w:rsid w:val="00492998"/>
    <w:rsid w:val="00492C86"/>
    <w:rsid w:val="00493B39"/>
    <w:rsid w:val="00494D68"/>
    <w:rsid w:val="00495AA2"/>
    <w:rsid w:val="00495B8A"/>
    <w:rsid w:val="00495F2B"/>
    <w:rsid w:val="00496B4D"/>
    <w:rsid w:val="00497B00"/>
    <w:rsid w:val="004A0ACA"/>
    <w:rsid w:val="004A1558"/>
    <w:rsid w:val="004A1975"/>
    <w:rsid w:val="004A2E21"/>
    <w:rsid w:val="004A3920"/>
    <w:rsid w:val="004A3925"/>
    <w:rsid w:val="004A3B90"/>
    <w:rsid w:val="004A416E"/>
    <w:rsid w:val="004A4CAB"/>
    <w:rsid w:val="004A5151"/>
    <w:rsid w:val="004A5172"/>
    <w:rsid w:val="004A51E5"/>
    <w:rsid w:val="004A63B6"/>
    <w:rsid w:val="004A652A"/>
    <w:rsid w:val="004A7257"/>
    <w:rsid w:val="004A72E8"/>
    <w:rsid w:val="004A7799"/>
    <w:rsid w:val="004B0370"/>
    <w:rsid w:val="004B0AC9"/>
    <w:rsid w:val="004B11B8"/>
    <w:rsid w:val="004B2F2F"/>
    <w:rsid w:val="004B377E"/>
    <w:rsid w:val="004B3AD8"/>
    <w:rsid w:val="004B54B4"/>
    <w:rsid w:val="004B623E"/>
    <w:rsid w:val="004B6D66"/>
    <w:rsid w:val="004B6FC4"/>
    <w:rsid w:val="004C039E"/>
    <w:rsid w:val="004C4A2E"/>
    <w:rsid w:val="004C57DA"/>
    <w:rsid w:val="004C6177"/>
    <w:rsid w:val="004C66E1"/>
    <w:rsid w:val="004D155D"/>
    <w:rsid w:val="004D1C6C"/>
    <w:rsid w:val="004D1FCE"/>
    <w:rsid w:val="004D24D3"/>
    <w:rsid w:val="004D539F"/>
    <w:rsid w:val="004D5A1A"/>
    <w:rsid w:val="004D6942"/>
    <w:rsid w:val="004D6C3E"/>
    <w:rsid w:val="004E07FF"/>
    <w:rsid w:val="004E0D3F"/>
    <w:rsid w:val="004E0E77"/>
    <w:rsid w:val="004E19DF"/>
    <w:rsid w:val="004E21C3"/>
    <w:rsid w:val="004E2AD6"/>
    <w:rsid w:val="004E36F6"/>
    <w:rsid w:val="004E3C14"/>
    <w:rsid w:val="004E4BA0"/>
    <w:rsid w:val="004E4D71"/>
    <w:rsid w:val="004E5C62"/>
    <w:rsid w:val="004E5FB9"/>
    <w:rsid w:val="004E6588"/>
    <w:rsid w:val="004E7882"/>
    <w:rsid w:val="004F028C"/>
    <w:rsid w:val="004F1675"/>
    <w:rsid w:val="004F3209"/>
    <w:rsid w:val="004F3BBD"/>
    <w:rsid w:val="004F56EB"/>
    <w:rsid w:val="004F6BBD"/>
    <w:rsid w:val="004F6C05"/>
    <w:rsid w:val="004F76B4"/>
    <w:rsid w:val="00500289"/>
    <w:rsid w:val="00500295"/>
    <w:rsid w:val="005026D5"/>
    <w:rsid w:val="00502C05"/>
    <w:rsid w:val="00503213"/>
    <w:rsid w:val="0050415B"/>
    <w:rsid w:val="00504AB2"/>
    <w:rsid w:val="00504B2D"/>
    <w:rsid w:val="00504EE2"/>
    <w:rsid w:val="005053C5"/>
    <w:rsid w:val="005056DC"/>
    <w:rsid w:val="0050572A"/>
    <w:rsid w:val="005063F9"/>
    <w:rsid w:val="00506C4D"/>
    <w:rsid w:val="00506ED4"/>
    <w:rsid w:val="0051052E"/>
    <w:rsid w:val="00511DAB"/>
    <w:rsid w:val="00512937"/>
    <w:rsid w:val="00512FAF"/>
    <w:rsid w:val="00513EB3"/>
    <w:rsid w:val="0051503F"/>
    <w:rsid w:val="00515153"/>
    <w:rsid w:val="00515BAC"/>
    <w:rsid w:val="00515FD0"/>
    <w:rsid w:val="005167D6"/>
    <w:rsid w:val="00517EF4"/>
    <w:rsid w:val="00517FAD"/>
    <w:rsid w:val="00520618"/>
    <w:rsid w:val="0052139C"/>
    <w:rsid w:val="0052167E"/>
    <w:rsid w:val="00522CC3"/>
    <w:rsid w:val="00522E67"/>
    <w:rsid w:val="00523CA4"/>
    <w:rsid w:val="00523EAD"/>
    <w:rsid w:val="0052403C"/>
    <w:rsid w:val="005244F4"/>
    <w:rsid w:val="00524530"/>
    <w:rsid w:val="005246B6"/>
    <w:rsid w:val="00524A72"/>
    <w:rsid w:val="00524D88"/>
    <w:rsid w:val="00525129"/>
    <w:rsid w:val="0052518D"/>
    <w:rsid w:val="00525814"/>
    <w:rsid w:val="00526025"/>
    <w:rsid w:val="00527146"/>
    <w:rsid w:val="00531248"/>
    <w:rsid w:val="005313ED"/>
    <w:rsid w:val="00531495"/>
    <w:rsid w:val="00531620"/>
    <w:rsid w:val="005316BF"/>
    <w:rsid w:val="0053257C"/>
    <w:rsid w:val="00532A1C"/>
    <w:rsid w:val="00532B14"/>
    <w:rsid w:val="00532E04"/>
    <w:rsid w:val="005336FD"/>
    <w:rsid w:val="0053424A"/>
    <w:rsid w:val="00534EAD"/>
    <w:rsid w:val="005355DC"/>
    <w:rsid w:val="0053580F"/>
    <w:rsid w:val="00535928"/>
    <w:rsid w:val="005403C1"/>
    <w:rsid w:val="005409A9"/>
    <w:rsid w:val="00541F63"/>
    <w:rsid w:val="00542A75"/>
    <w:rsid w:val="00543001"/>
    <w:rsid w:val="0054378F"/>
    <w:rsid w:val="00543DDE"/>
    <w:rsid w:val="005450BA"/>
    <w:rsid w:val="00545F04"/>
    <w:rsid w:val="00546B02"/>
    <w:rsid w:val="005478B8"/>
    <w:rsid w:val="00547C96"/>
    <w:rsid w:val="00547FD9"/>
    <w:rsid w:val="0055054B"/>
    <w:rsid w:val="005508AE"/>
    <w:rsid w:val="00552417"/>
    <w:rsid w:val="00553EE6"/>
    <w:rsid w:val="0055504E"/>
    <w:rsid w:val="00556AF4"/>
    <w:rsid w:val="005577B7"/>
    <w:rsid w:val="00560AA3"/>
    <w:rsid w:val="00561CEE"/>
    <w:rsid w:val="005631BC"/>
    <w:rsid w:val="0056405F"/>
    <w:rsid w:val="00564456"/>
    <w:rsid w:val="00564682"/>
    <w:rsid w:val="00565241"/>
    <w:rsid w:val="00565991"/>
    <w:rsid w:val="00565FA9"/>
    <w:rsid w:val="00566E04"/>
    <w:rsid w:val="005671F3"/>
    <w:rsid w:val="0057017B"/>
    <w:rsid w:val="0057076A"/>
    <w:rsid w:val="005708FB"/>
    <w:rsid w:val="00570964"/>
    <w:rsid w:val="0057097C"/>
    <w:rsid w:val="00571FE5"/>
    <w:rsid w:val="00572132"/>
    <w:rsid w:val="00572399"/>
    <w:rsid w:val="00573B3E"/>
    <w:rsid w:val="005741F3"/>
    <w:rsid w:val="00574AF4"/>
    <w:rsid w:val="00575992"/>
    <w:rsid w:val="00577375"/>
    <w:rsid w:val="00580831"/>
    <w:rsid w:val="00581A16"/>
    <w:rsid w:val="0058237F"/>
    <w:rsid w:val="00582B44"/>
    <w:rsid w:val="00582F1C"/>
    <w:rsid w:val="005839FB"/>
    <w:rsid w:val="005845B0"/>
    <w:rsid w:val="0058510C"/>
    <w:rsid w:val="00585952"/>
    <w:rsid w:val="00586B47"/>
    <w:rsid w:val="00590958"/>
    <w:rsid w:val="00590C82"/>
    <w:rsid w:val="005915EC"/>
    <w:rsid w:val="00591EF2"/>
    <w:rsid w:val="00591FB9"/>
    <w:rsid w:val="0059240D"/>
    <w:rsid w:val="00593978"/>
    <w:rsid w:val="00593A99"/>
    <w:rsid w:val="00594855"/>
    <w:rsid w:val="00596ADB"/>
    <w:rsid w:val="00596FD6"/>
    <w:rsid w:val="005A0E12"/>
    <w:rsid w:val="005A12AD"/>
    <w:rsid w:val="005A15BF"/>
    <w:rsid w:val="005A1EF9"/>
    <w:rsid w:val="005A24A5"/>
    <w:rsid w:val="005A3BE6"/>
    <w:rsid w:val="005A420E"/>
    <w:rsid w:val="005A4C1C"/>
    <w:rsid w:val="005A53C0"/>
    <w:rsid w:val="005A5AE2"/>
    <w:rsid w:val="005A5CBD"/>
    <w:rsid w:val="005A5DE7"/>
    <w:rsid w:val="005A5E41"/>
    <w:rsid w:val="005A6437"/>
    <w:rsid w:val="005A7CEC"/>
    <w:rsid w:val="005B077F"/>
    <w:rsid w:val="005B1B12"/>
    <w:rsid w:val="005B1D8E"/>
    <w:rsid w:val="005B2E56"/>
    <w:rsid w:val="005B3337"/>
    <w:rsid w:val="005B3432"/>
    <w:rsid w:val="005B3A50"/>
    <w:rsid w:val="005B45C5"/>
    <w:rsid w:val="005B45FA"/>
    <w:rsid w:val="005B4901"/>
    <w:rsid w:val="005B4A9C"/>
    <w:rsid w:val="005B4B47"/>
    <w:rsid w:val="005B4CF0"/>
    <w:rsid w:val="005B67E5"/>
    <w:rsid w:val="005B68FE"/>
    <w:rsid w:val="005B6B49"/>
    <w:rsid w:val="005B7236"/>
    <w:rsid w:val="005C1C21"/>
    <w:rsid w:val="005C21F3"/>
    <w:rsid w:val="005C23DB"/>
    <w:rsid w:val="005C23E6"/>
    <w:rsid w:val="005C2919"/>
    <w:rsid w:val="005C36D9"/>
    <w:rsid w:val="005C3C53"/>
    <w:rsid w:val="005C4315"/>
    <w:rsid w:val="005C4A2B"/>
    <w:rsid w:val="005C5131"/>
    <w:rsid w:val="005C5929"/>
    <w:rsid w:val="005C5A28"/>
    <w:rsid w:val="005C5CD1"/>
    <w:rsid w:val="005C6DA4"/>
    <w:rsid w:val="005C7A9D"/>
    <w:rsid w:val="005C7B94"/>
    <w:rsid w:val="005D0B7B"/>
    <w:rsid w:val="005D0F8F"/>
    <w:rsid w:val="005D3198"/>
    <w:rsid w:val="005D3BD7"/>
    <w:rsid w:val="005D41F8"/>
    <w:rsid w:val="005D4854"/>
    <w:rsid w:val="005D4B03"/>
    <w:rsid w:val="005D56FD"/>
    <w:rsid w:val="005D5740"/>
    <w:rsid w:val="005D7379"/>
    <w:rsid w:val="005D7F90"/>
    <w:rsid w:val="005E0218"/>
    <w:rsid w:val="005E0652"/>
    <w:rsid w:val="005E1B92"/>
    <w:rsid w:val="005E3772"/>
    <w:rsid w:val="005E427A"/>
    <w:rsid w:val="005E47E8"/>
    <w:rsid w:val="005E5B1B"/>
    <w:rsid w:val="005E5CBD"/>
    <w:rsid w:val="005F1136"/>
    <w:rsid w:val="005F2CE8"/>
    <w:rsid w:val="005F2F4F"/>
    <w:rsid w:val="005F3925"/>
    <w:rsid w:val="005F3B68"/>
    <w:rsid w:val="005F438D"/>
    <w:rsid w:val="005F4432"/>
    <w:rsid w:val="005F47FB"/>
    <w:rsid w:val="005F6D69"/>
    <w:rsid w:val="00600163"/>
    <w:rsid w:val="006011C5"/>
    <w:rsid w:val="00601667"/>
    <w:rsid w:val="006019BF"/>
    <w:rsid w:val="00602B1F"/>
    <w:rsid w:val="00604253"/>
    <w:rsid w:val="006043C7"/>
    <w:rsid w:val="00605645"/>
    <w:rsid w:val="0060573D"/>
    <w:rsid w:val="006061CE"/>
    <w:rsid w:val="00606208"/>
    <w:rsid w:val="00606FCA"/>
    <w:rsid w:val="00607C3D"/>
    <w:rsid w:val="00610121"/>
    <w:rsid w:val="00610FAE"/>
    <w:rsid w:val="0061121D"/>
    <w:rsid w:val="00611386"/>
    <w:rsid w:val="006118FD"/>
    <w:rsid w:val="00611A68"/>
    <w:rsid w:val="0061207F"/>
    <w:rsid w:val="00612B33"/>
    <w:rsid w:val="00612DB4"/>
    <w:rsid w:val="00613503"/>
    <w:rsid w:val="00614A98"/>
    <w:rsid w:val="00615430"/>
    <w:rsid w:val="006174F1"/>
    <w:rsid w:val="006175F6"/>
    <w:rsid w:val="00617CF4"/>
    <w:rsid w:val="00620031"/>
    <w:rsid w:val="00620BB0"/>
    <w:rsid w:val="006217F7"/>
    <w:rsid w:val="0062270B"/>
    <w:rsid w:val="00622AF4"/>
    <w:rsid w:val="006240E2"/>
    <w:rsid w:val="006247A4"/>
    <w:rsid w:val="006263A0"/>
    <w:rsid w:val="00626802"/>
    <w:rsid w:val="00627821"/>
    <w:rsid w:val="006278E8"/>
    <w:rsid w:val="00630194"/>
    <w:rsid w:val="00630869"/>
    <w:rsid w:val="006323DA"/>
    <w:rsid w:val="00632473"/>
    <w:rsid w:val="006328DE"/>
    <w:rsid w:val="00633644"/>
    <w:rsid w:val="00633A27"/>
    <w:rsid w:val="00633C28"/>
    <w:rsid w:val="006342F2"/>
    <w:rsid w:val="00634564"/>
    <w:rsid w:val="00634606"/>
    <w:rsid w:val="00634B52"/>
    <w:rsid w:val="00636237"/>
    <w:rsid w:val="00637B7F"/>
    <w:rsid w:val="00640BB5"/>
    <w:rsid w:val="006419FE"/>
    <w:rsid w:val="0064216D"/>
    <w:rsid w:val="00642245"/>
    <w:rsid w:val="006427F6"/>
    <w:rsid w:val="00642FFF"/>
    <w:rsid w:val="006435D8"/>
    <w:rsid w:val="00644B96"/>
    <w:rsid w:val="006464DB"/>
    <w:rsid w:val="00650518"/>
    <w:rsid w:val="00650B22"/>
    <w:rsid w:val="00650BCC"/>
    <w:rsid w:val="00650D4B"/>
    <w:rsid w:val="00651224"/>
    <w:rsid w:val="00651809"/>
    <w:rsid w:val="00652658"/>
    <w:rsid w:val="006532E2"/>
    <w:rsid w:val="00654E33"/>
    <w:rsid w:val="00655116"/>
    <w:rsid w:val="006555A7"/>
    <w:rsid w:val="00656302"/>
    <w:rsid w:val="0065743E"/>
    <w:rsid w:val="0066014E"/>
    <w:rsid w:val="006604A6"/>
    <w:rsid w:val="0066130D"/>
    <w:rsid w:val="00662297"/>
    <w:rsid w:val="0066358E"/>
    <w:rsid w:val="00663FFA"/>
    <w:rsid w:val="00664A3B"/>
    <w:rsid w:val="006651D5"/>
    <w:rsid w:val="00665220"/>
    <w:rsid w:val="00665B58"/>
    <w:rsid w:val="006669A9"/>
    <w:rsid w:val="00667BE7"/>
    <w:rsid w:val="0067037B"/>
    <w:rsid w:val="0067059C"/>
    <w:rsid w:val="006705B9"/>
    <w:rsid w:val="00670BD4"/>
    <w:rsid w:val="006726F1"/>
    <w:rsid w:val="00673F95"/>
    <w:rsid w:val="0067440F"/>
    <w:rsid w:val="006749AA"/>
    <w:rsid w:val="00675A52"/>
    <w:rsid w:val="00676BD7"/>
    <w:rsid w:val="00676E17"/>
    <w:rsid w:val="0068019F"/>
    <w:rsid w:val="00681948"/>
    <w:rsid w:val="006819B8"/>
    <w:rsid w:val="00681C22"/>
    <w:rsid w:val="00682C6A"/>
    <w:rsid w:val="006838BA"/>
    <w:rsid w:val="00683B5F"/>
    <w:rsid w:val="00683E7A"/>
    <w:rsid w:val="006845B8"/>
    <w:rsid w:val="006846AD"/>
    <w:rsid w:val="00685A4D"/>
    <w:rsid w:val="00686C24"/>
    <w:rsid w:val="00687C5B"/>
    <w:rsid w:val="00690BA9"/>
    <w:rsid w:val="00692761"/>
    <w:rsid w:val="006931EA"/>
    <w:rsid w:val="00693EF7"/>
    <w:rsid w:val="00695179"/>
    <w:rsid w:val="00696155"/>
    <w:rsid w:val="006965DF"/>
    <w:rsid w:val="006972E2"/>
    <w:rsid w:val="00697638"/>
    <w:rsid w:val="006A022F"/>
    <w:rsid w:val="006A1C1D"/>
    <w:rsid w:val="006A1E11"/>
    <w:rsid w:val="006A24C0"/>
    <w:rsid w:val="006A2AE2"/>
    <w:rsid w:val="006A2E2C"/>
    <w:rsid w:val="006A4674"/>
    <w:rsid w:val="006A702D"/>
    <w:rsid w:val="006A73B8"/>
    <w:rsid w:val="006A7523"/>
    <w:rsid w:val="006B08EA"/>
    <w:rsid w:val="006B099E"/>
    <w:rsid w:val="006B172A"/>
    <w:rsid w:val="006B1BD4"/>
    <w:rsid w:val="006B1D4D"/>
    <w:rsid w:val="006B2FE7"/>
    <w:rsid w:val="006B33FD"/>
    <w:rsid w:val="006B50BE"/>
    <w:rsid w:val="006B5CD5"/>
    <w:rsid w:val="006B657C"/>
    <w:rsid w:val="006B65BB"/>
    <w:rsid w:val="006B6F13"/>
    <w:rsid w:val="006B721C"/>
    <w:rsid w:val="006B7940"/>
    <w:rsid w:val="006C047A"/>
    <w:rsid w:val="006C0EF8"/>
    <w:rsid w:val="006C1E98"/>
    <w:rsid w:val="006C20E8"/>
    <w:rsid w:val="006C2405"/>
    <w:rsid w:val="006C312C"/>
    <w:rsid w:val="006C36A8"/>
    <w:rsid w:val="006C406C"/>
    <w:rsid w:val="006C47FC"/>
    <w:rsid w:val="006C573F"/>
    <w:rsid w:val="006D20BF"/>
    <w:rsid w:val="006D29E6"/>
    <w:rsid w:val="006D2FE7"/>
    <w:rsid w:val="006D39BA"/>
    <w:rsid w:val="006D3B5E"/>
    <w:rsid w:val="006D49B7"/>
    <w:rsid w:val="006D4E90"/>
    <w:rsid w:val="006D5EAE"/>
    <w:rsid w:val="006D6F20"/>
    <w:rsid w:val="006E04B6"/>
    <w:rsid w:val="006E3460"/>
    <w:rsid w:val="006E504F"/>
    <w:rsid w:val="006E5CF7"/>
    <w:rsid w:val="006E639B"/>
    <w:rsid w:val="006E79C2"/>
    <w:rsid w:val="006E7BDF"/>
    <w:rsid w:val="006F133A"/>
    <w:rsid w:val="006F1C46"/>
    <w:rsid w:val="006F2012"/>
    <w:rsid w:val="006F202D"/>
    <w:rsid w:val="006F228B"/>
    <w:rsid w:val="006F2448"/>
    <w:rsid w:val="006F2938"/>
    <w:rsid w:val="006F44D1"/>
    <w:rsid w:val="006F5C2E"/>
    <w:rsid w:val="006F635C"/>
    <w:rsid w:val="006F6D1D"/>
    <w:rsid w:val="00700C7F"/>
    <w:rsid w:val="00700E3E"/>
    <w:rsid w:val="00700F8D"/>
    <w:rsid w:val="007012F1"/>
    <w:rsid w:val="00701600"/>
    <w:rsid w:val="00701E02"/>
    <w:rsid w:val="00701E24"/>
    <w:rsid w:val="00702A64"/>
    <w:rsid w:val="00702E60"/>
    <w:rsid w:val="007034EC"/>
    <w:rsid w:val="007037DC"/>
    <w:rsid w:val="007037F5"/>
    <w:rsid w:val="007039BC"/>
    <w:rsid w:val="007055DA"/>
    <w:rsid w:val="00705ADB"/>
    <w:rsid w:val="00706F18"/>
    <w:rsid w:val="007073AC"/>
    <w:rsid w:val="0070740D"/>
    <w:rsid w:val="00710963"/>
    <w:rsid w:val="00710C12"/>
    <w:rsid w:val="00710CDD"/>
    <w:rsid w:val="0071137E"/>
    <w:rsid w:val="00711AFF"/>
    <w:rsid w:val="007121D8"/>
    <w:rsid w:val="007136EC"/>
    <w:rsid w:val="00713DF3"/>
    <w:rsid w:val="0071638D"/>
    <w:rsid w:val="00716D3F"/>
    <w:rsid w:val="00717934"/>
    <w:rsid w:val="0072045D"/>
    <w:rsid w:val="00720D0C"/>
    <w:rsid w:val="00721F22"/>
    <w:rsid w:val="00722B04"/>
    <w:rsid w:val="00722CA9"/>
    <w:rsid w:val="00724090"/>
    <w:rsid w:val="00725D90"/>
    <w:rsid w:val="0072600F"/>
    <w:rsid w:val="007266D9"/>
    <w:rsid w:val="00726CA6"/>
    <w:rsid w:val="00727270"/>
    <w:rsid w:val="00727E19"/>
    <w:rsid w:val="00730081"/>
    <w:rsid w:val="007301A6"/>
    <w:rsid w:val="007315AA"/>
    <w:rsid w:val="00732006"/>
    <w:rsid w:val="00732949"/>
    <w:rsid w:val="00732A03"/>
    <w:rsid w:val="007332E3"/>
    <w:rsid w:val="0073440A"/>
    <w:rsid w:val="007345CE"/>
    <w:rsid w:val="007348A8"/>
    <w:rsid w:val="00735934"/>
    <w:rsid w:val="0073663C"/>
    <w:rsid w:val="00737F13"/>
    <w:rsid w:val="0074174B"/>
    <w:rsid w:val="00742C8B"/>
    <w:rsid w:val="00742D20"/>
    <w:rsid w:val="00743148"/>
    <w:rsid w:val="0074420C"/>
    <w:rsid w:val="007457E4"/>
    <w:rsid w:val="00745E9A"/>
    <w:rsid w:val="00746A5E"/>
    <w:rsid w:val="00746F2F"/>
    <w:rsid w:val="00747634"/>
    <w:rsid w:val="00747F9B"/>
    <w:rsid w:val="00750B1B"/>
    <w:rsid w:val="0075133C"/>
    <w:rsid w:val="007518C5"/>
    <w:rsid w:val="00752B28"/>
    <w:rsid w:val="00753004"/>
    <w:rsid w:val="00753472"/>
    <w:rsid w:val="00754BE4"/>
    <w:rsid w:val="0075508F"/>
    <w:rsid w:val="007556A0"/>
    <w:rsid w:val="0075699F"/>
    <w:rsid w:val="00757574"/>
    <w:rsid w:val="007575AA"/>
    <w:rsid w:val="00760CE1"/>
    <w:rsid w:val="00760CFF"/>
    <w:rsid w:val="00760FC8"/>
    <w:rsid w:val="0076188B"/>
    <w:rsid w:val="00761FDA"/>
    <w:rsid w:val="00762095"/>
    <w:rsid w:val="007634D9"/>
    <w:rsid w:val="00763BA3"/>
    <w:rsid w:val="00765FAA"/>
    <w:rsid w:val="0076687B"/>
    <w:rsid w:val="00766A54"/>
    <w:rsid w:val="00767170"/>
    <w:rsid w:val="0076737D"/>
    <w:rsid w:val="007705BA"/>
    <w:rsid w:val="0077104D"/>
    <w:rsid w:val="00771372"/>
    <w:rsid w:val="00772174"/>
    <w:rsid w:val="00772E96"/>
    <w:rsid w:val="00774004"/>
    <w:rsid w:val="00774250"/>
    <w:rsid w:val="007755E6"/>
    <w:rsid w:val="00775816"/>
    <w:rsid w:val="00775E8B"/>
    <w:rsid w:val="0077624A"/>
    <w:rsid w:val="00776BAD"/>
    <w:rsid w:val="00776CC8"/>
    <w:rsid w:val="00785401"/>
    <w:rsid w:val="007866CF"/>
    <w:rsid w:val="00786927"/>
    <w:rsid w:val="00786AB8"/>
    <w:rsid w:val="00786B9A"/>
    <w:rsid w:val="007875C6"/>
    <w:rsid w:val="00790D91"/>
    <w:rsid w:val="00791EB4"/>
    <w:rsid w:val="00791F1F"/>
    <w:rsid w:val="00792131"/>
    <w:rsid w:val="00792282"/>
    <w:rsid w:val="00792E66"/>
    <w:rsid w:val="0079445D"/>
    <w:rsid w:val="00795DC3"/>
    <w:rsid w:val="00795E37"/>
    <w:rsid w:val="00796703"/>
    <w:rsid w:val="00796959"/>
    <w:rsid w:val="00796C7F"/>
    <w:rsid w:val="007972FF"/>
    <w:rsid w:val="0079782F"/>
    <w:rsid w:val="00797ACC"/>
    <w:rsid w:val="007A0726"/>
    <w:rsid w:val="007A0C82"/>
    <w:rsid w:val="007A112D"/>
    <w:rsid w:val="007A22F4"/>
    <w:rsid w:val="007A2491"/>
    <w:rsid w:val="007A27A4"/>
    <w:rsid w:val="007A2887"/>
    <w:rsid w:val="007A3294"/>
    <w:rsid w:val="007A3D97"/>
    <w:rsid w:val="007A4181"/>
    <w:rsid w:val="007A426F"/>
    <w:rsid w:val="007A435C"/>
    <w:rsid w:val="007A44A3"/>
    <w:rsid w:val="007A4CC2"/>
    <w:rsid w:val="007A5826"/>
    <w:rsid w:val="007A6E55"/>
    <w:rsid w:val="007A6FA7"/>
    <w:rsid w:val="007A6FCD"/>
    <w:rsid w:val="007A7523"/>
    <w:rsid w:val="007A79B7"/>
    <w:rsid w:val="007B15D1"/>
    <w:rsid w:val="007B1908"/>
    <w:rsid w:val="007B19EA"/>
    <w:rsid w:val="007B20A2"/>
    <w:rsid w:val="007B2667"/>
    <w:rsid w:val="007B2695"/>
    <w:rsid w:val="007B3082"/>
    <w:rsid w:val="007B3C48"/>
    <w:rsid w:val="007B41A9"/>
    <w:rsid w:val="007B458F"/>
    <w:rsid w:val="007B4D25"/>
    <w:rsid w:val="007B6BC4"/>
    <w:rsid w:val="007C0543"/>
    <w:rsid w:val="007C0D69"/>
    <w:rsid w:val="007C152C"/>
    <w:rsid w:val="007C29E0"/>
    <w:rsid w:val="007C2DB6"/>
    <w:rsid w:val="007C356D"/>
    <w:rsid w:val="007C578B"/>
    <w:rsid w:val="007C6AD9"/>
    <w:rsid w:val="007C70C5"/>
    <w:rsid w:val="007C7B3A"/>
    <w:rsid w:val="007D07F9"/>
    <w:rsid w:val="007D1E3D"/>
    <w:rsid w:val="007D321F"/>
    <w:rsid w:val="007D4623"/>
    <w:rsid w:val="007D46DA"/>
    <w:rsid w:val="007D4738"/>
    <w:rsid w:val="007D534C"/>
    <w:rsid w:val="007D570B"/>
    <w:rsid w:val="007D7AE0"/>
    <w:rsid w:val="007E00F9"/>
    <w:rsid w:val="007E1091"/>
    <w:rsid w:val="007E13C1"/>
    <w:rsid w:val="007E155B"/>
    <w:rsid w:val="007E2726"/>
    <w:rsid w:val="007E294E"/>
    <w:rsid w:val="007E2B04"/>
    <w:rsid w:val="007E4E31"/>
    <w:rsid w:val="007E504A"/>
    <w:rsid w:val="007E6BC8"/>
    <w:rsid w:val="007E7B02"/>
    <w:rsid w:val="007F01F6"/>
    <w:rsid w:val="007F097F"/>
    <w:rsid w:val="007F13B5"/>
    <w:rsid w:val="007F159A"/>
    <w:rsid w:val="007F1BD4"/>
    <w:rsid w:val="007F2C6D"/>
    <w:rsid w:val="007F34EC"/>
    <w:rsid w:val="007F4077"/>
    <w:rsid w:val="007F438E"/>
    <w:rsid w:val="007F496E"/>
    <w:rsid w:val="007F7734"/>
    <w:rsid w:val="007F7B7F"/>
    <w:rsid w:val="007F7E2A"/>
    <w:rsid w:val="007F7EDF"/>
    <w:rsid w:val="007F7EED"/>
    <w:rsid w:val="008001EA"/>
    <w:rsid w:val="008009FA"/>
    <w:rsid w:val="00800EE4"/>
    <w:rsid w:val="008018B7"/>
    <w:rsid w:val="00801D9F"/>
    <w:rsid w:val="00801DA6"/>
    <w:rsid w:val="00802297"/>
    <w:rsid w:val="00802481"/>
    <w:rsid w:val="008027EC"/>
    <w:rsid w:val="00802E95"/>
    <w:rsid w:val="00803752"/>
    <w:rsid w:val="008039B1"/>
    <w:rsid w:val="00803BC4"/>
    <w:rsid w:val="0080431A"/>
    <w:rsid w:val="00804E28"/>
    <w:rsid w:val="008063D5"/>
    <w:rsid w:val="00807F43"/>
    <w:rsid w:val="00811454"/>
    <w:rsid w:val="008134D8"/>
    <w:rsid w:val="00814693"/>
    <w:rsid w:val="00814AFD"/>
    <w:rsid w:val="00814FA4"/>
    <w:rsid w:val="008161D4"/>
    <w:rsid w:val="00816C80"/>
    <w:rsid w:val="008172CB"/>
    <w:rsid w:val="00817385"/>
    <w:rsid w:val="008177A1"/>
    <w:rsid w:val="00817BBE"/>
    <w:rsid w:val="00820DDB"/>
    <w:rsid w:val="0082106E"/>
    <w:rsid w:val="008211D3"/>
    <w:rsid w:val="00821532"/>
    <w:rsid w:val="00821A86"/>
    <w:rsid w:val="00821D63"/>
    <w:rsid w:val="00822253"/>
    <w:rsid w:val="008229C9"/>
    <w:rsid w:val="008245A0"/>
    <w:rsid w:val="00826778"/>
    <w:rsid w:val="00830421"/>
    <w:rsid w:val="0083092E"/>
    <w:rsid w:val="00832DF3"/>
    <w:rsid w:val="008333B3"/>
    <w:rsid w:val="00833C02"/>
    <w:rsid w:val="00834346"/>
    <w:rsid w:val="008343C4"/>
    <w:rsid w:val="00835419"/>
    <w:rsid w:val="00836228"/>
    <w:rsid w:val="00836D9E"/>
    <w:rsid w:val="0083728D"/>
    <w:rsid w:val="00837611"/>
    <w:rsid w:val="00837F3E"/>
    <w:rsid w:val="0084011C"/>
    <w:rsid w:val="0084086D"/>
    <w:rsid w:val="008417AD"/>
    <w:rsid w:val="00841B9E"/>
    <w:rsid w:val="00841CA9"/>
    <w:rsid w:val="0084291A"/>
    <w:rsid w:val="008431C4"/>
    <w:rsid w:val="00843FC9"/>
    <w:rsid w:val="008446B5"/>
    <w:rsid w:val="00844AD7"/>
    <w:rsid w:val="00844FF0"/>
    <w:rsid w:val="008457F6"/>
    <w:rsid w:val="00846026"/>
    <w:rsid w:val="00846496"/>
    <w:rsid w:val="00846E78"/>
    <w:rsid w:val="00846F04"/>
    <w:rsid w:val="008479B1"/>
    <w:rsid w:val="0085028C"/>
    <w:rsid w:val="00850B79"/>
    <w:rsid w:val="00854591"/>
    <w:rsid w:val="00855FFB"/>
    <w:rsid w:val="008563A3"/>
    <w:rsid w:val="00856923"/>
    <w:rsid w:val="00857E03"/>
    <w:rsid w:val="00860397"/>
    <w:rsid w:val="00861299"/>
    <w:rsid w:val="00863146"/>
    <w:rsid w:val="00863847"/>
    <w:rsid w:val="00864855"/>
    <w:rsid w:val="00864DBD"/>
    <w:rsid w:val="00865254"/>
    <w:rsid w:val="00865F3B"/>
    <w:rsid w:val="008672D0"/>
    <w:rsid w:val="0086763D"/>
    <w:rsid w:val="00870C30"/>
    <w:rsid w:val="00871248"/>
    <w:rsid w:val="00873CCE"/>
    <w:rsid w:val="00874BD9"/>
    <w:rsid w:val="00875AAE"/>
    <w:rsid w:val="00876761"/>
    <w:rsid w:val="00877A8A"/>
    <w:rsid w:val="0088112A"/>
    <w:rsid w:val="008813BE"/>
    <w:rsid w:val="0088173D"/>
    <w:rsid w:val="008818F5"/>
    <w:rsid w:val="00882C0B"/>
    <w:rsid w:val="00885BA5"/>
    <w:rsid w:val="00885CF2"/>
    <w:rsid w:val="00885E7D"/>
    <w:rsid w:val="00886655"/>
    <w:rsid w:val="00887A67"/>
    <w:rsid w:val="00887B17"/>
    <w:rsid w:val="008916E3"/>
    <w:rsid w:val="0089188B"/>
    <w:rsid w:val="00891F3A"/>
    <w:rsid w:val="00892558"/>
    <w:rsid w:val="00892EFE"/>
    <w:rsid w:val="00893755"/>
    <w:rsid w:val="0089401D"/>
    <w:rsid w:val="008943FE"/>
    <w:rsid w:val="00895128"/>
    <w:rsid w:val="00896321"/>
    <w:rsid w:val="008965BB"/>
    <w:rsid w:val="008968B9"/>
    <w:rsid w:val="008A0050"/>
    <w:rsid w:val="008A009F"/>
    <w:rsid w:val="008A02C7"/>
    <w:rsid w:val="008A046C"/>
    <w:rsid w:val="008A0744"/>
    <w:rsid w:val="008A1717"/>
    <w:rsid w:val="008A368A"/>
    <w:rsid w:val="008A36D7"/>
    <w:rsid w:val="008A3BC8"/>
    <w:rsid w:val="008A4B66"/>
    <w:rsid w:val="008A5CA4"/>
    <w:rsid w:val="008A78F7"/>
    <w:rsid w:val="008B0809"/>
    <w:rsid w:val="008B20E1"/>
    <w:rsid w:val="008B44B6"/>
    <w:rsid w:val="008B4803"/>
    <w:rsid w:val="008B57EC"/>
    <w:rsid w:val="008B5836"/>
    <w:rsid w:val="008B7E96"/>
    <w:rsid w:val="008C02A4"/>
    <w:rsid w:val="008C0B4B"/>
    <w:rsid w:val="008C2691"/>
    <w:rsid w:val="008C28AB"/>
    <w:rsid w:val="008C39A7"/>
    <w:rsid w:val="008C3D6C"/>
    <w:rsid w:val="008C4B1A"/>
    <w:rsid w:val="008C6005"/>
    <w:rsid w:val="008C7103"/>
    <w:rsid w:val="008C7212"/>
    <w:rsid w:val="008C761F"/>
    <w:rsid w:val="008D01F9"/>
    <w:rsid w:val="008D0545"/>
    <w:rsid w:val="008D0849"/>
    <w:rsid w:val="008D0D2B"/>
    <w:rsid w:val="008D10EA"/>
    <w:rsid w:val="008D1CBA"/>
    <w:rsid w:val="008D2A51"/>
    <w:rsid w:val="008D2BC3"/>
    <w:rsid w:val="008D31CC"/>
    <w:rsid w:val="008D47E4"/>
    <w:rsid w:val="008D53D9"/>
    <w:rsid w:val="008D6374"/>
    <w:rsid w:val="008D6418"/>
    <w:rsid w:val="008D6B73"/>
    <w:rsid w:val="008E0E30"/>
    <w:rsid w:val="008E2213"/>
    <w:rsid w:val="008E2C86"/>
    <w:rsid w:val="008E2E6F"/>
    <w:rsid w:val="008E3583"/>
    <w:rsid w:val="008E38CA"/>
    <w:rsid w:val="008E48A5"/>
    <w:rsid w:val="008E4FC8"/>
    <w:rsid w:val="008E60C3"/>
    <w:rsid w:val="008E67F4"/>
    <w:rsid w:val="008F0406"/>
    <w:rsid w:val="008F059E"/>
    <w:rsid w:val="008F12C4"/>
    <w:rsid w:val="008F3850"/>
    <w:rsid w:val="008F44D5"/>
    <w:rsid w:val="008F5F67"/>
    <w:rsid w:val="008F61D1"/>
    <w:rsid w:val="008F74AD"/>
    <w:rsid w:val="0090130C"/>
    <w:rsid w:val="009022B6"/>
    <w:rsid w:val="00903580"/>
    <w:rsid w:val="009036E0"/>
    <w:rsid w:val="00904AE0"/>
    <w:rsid w:val="009050A9"/>
    <w:rsid w:val="00905311"/>
    <w:rsid w:val="009056E5"/>
    <w:rsid w:val="00906101"/>
    <w:rsid w:val="009069E6"/>
    <w:rsid w:val="009071AF"/>
    <w:rsid w:val="009078AF"/>
    <w:rsid w:val="00910567"/>
    <w:rsid w:val="009117C6"/>
    <w:rsid w:val="00911B9E"/>
    <w:rsid w:val="009147CB"/>
    <w:rsid w:val="00915255"/>
    <w:rsid w:val="0091536A"/>
    <w:rsid w:val="0091575C"/>
    <w:rsid w:val="00915DA9"/>
    <w:rsid w:val="00917575"/>
    <w:rsid w:val="00917622"/>
    <w:rsid w:val="00917ECC"/>
    <w:rsid w:val="009207A4"/>
    <w:rsid w:val="009207EE"/>
    <w:rsid w:val="0092086B"/>
    <w:rsid w:val="0092089F"/>
    <w:rsid w:val="00920F92"/>
    <w:rsid w:val="009213DE"/>
    <w:rsid w:val="00921996"/>
    <w:rsid w:val="00922809"/>
    <w:rsid w:val="009229D8"/>
    <w:rsid w:val="00922B1F"/>
    <w:rsid w:val="009256A8"/>
    <w:rsid w:val="00925875"/>
    <w:rsid w:val="00925E7C"/>
    <w:rsid w:val="00926E37"/>
    <w:rsid w:val="00927362"/>
    <w:rsid w:val="009276BE"/>
    <w:rsid w:val="00930902"/>
    <w:rsid w:val="0093098B"/>
    <w:rsid w:val="009309C7"/>
    <w:rsid w:val="00930B09"/>
    <w:rsid w:val="00931110"/>
    <w:rsid w:val="00932490"/>
    <w:rsid w:val="00933226"/>
    <w:rsid w:val="009335AA"/>
    <w:rsid w:val="00933A0F"/>
    <w:rsid w:val="00934C06"/>
    <w:rsid w:val="00934E1E"/>
    <w:rsid w:val="009359D6"/>
    <w:rsid w:val="0093703F"/>
    <w:rsid w:val="009371D0"/>
    <w:rsid w:val="009373F2"/>
    <w:rsid w:val="009377CC"/>
    <w:rsid w:val="00937C2C"/>
    <w:rsid w:val="00937D6A"/>
    <w:rsid w:val="00940B42"/>
    <w:rsid w:val="009422AA"/>
    <w:rsid w:val="009428CA"/>
    <w:rsid w:val="009429BF"/>
    <w:rsid w:val="00944E84"/>
    <w:rsid w:val="00945C20"/>
    <w:rsid w:val="00946540"/>
    <w:rsid w:val="00946840"/>
    <w:rsid w:val="00946EB0"/>
    <w:rsid w:val="009475AA"/>
    <w:rsid w:val="00950080"/>
    <w:rsid w:val="009502F7"/>
    <w:rsid w:val="00950860"/>
    <w:rsid w:val="00950ADE"/>
    <w:rsid w:val="00950C7A"/>
    <w:rsid w:val="00951150"/>
    <w:rsid w:val="009513A1"/>
    <w:rsid w:val="00951B37"/>
    <w:rsid w:val="009526D6"/>
    <w:rsid w:val="00952D36"/>
    <w:rsid w:val="009539D1"/>
    <w:rsid w:val="00954135"/>
    <w:rsid w:val="009567A7"/>
    <w:rsid w:val="009569DC"/>
    <w:rsid w:val="0095773B"/>
    <w:rsid w:val="00957EC9"/>
    <w:rsid w:val="00960C3B"/>
    <w:rsid w:val="009618D8"/>
    <w:rsid w:val="009622DE"/>
    <w:rsid w:val="009624CA"/>
    <w:rsid w:val="00962766"/>
    <w:rsid w:val="009628D9"/>
    <w:rsid w:val="0096315F"/>
    <w:rsid w:val="00963DA5"/>
    <w:rsid w:val="00966DEB"/>
    <w:rsid w:val="009676FA"/>
    <w:rsid w:val="0097029C"/>
    <w:rsid w:val="009704FF"/>
    <w:rsid w:val="0097153F"/>
    <w:rsid w:val="00971D53"/>
    <w:rsid w:val="00972AAC"/>
    <w:rsid w:val="00974998"/>
    <w:rsid w:val="009761D5"/>
    <w:rsid w:val="009773E9"/>
    <w:rsid w:val="0097778B"/>
    <w:rsid w:val="00980420"/>
    <w:rsid w:val="00980949"/>
    <w:rsid w:val="00980C18"/>
    <w:rsid w:val="0098103C"/>
    <w:rsid w:val="00981618"/>
    <w:rsid w:val="00981700"/>
    <w:rsid w:val="009822CA"/>
    <w:rsid w:val="00983492"/>
    <w:rsid w:val="00983688"/>
    <w:rsid w:val="0098434B"/>
    <w:rsid w:val="00984AC6"/>
    <w:rsid w:val="00984F40"/>
    <w:rsid w:val="00985247"/>
    <w:rsid w:val="00985768"/>
    <w:rsid w:val="00985D3D"/>
    <w:rsid w:val="009862E8"/>
    <w:rsid w:val="009864DD"/>
    <w:rsid w:val="009867F5"/>
    <w:rsid w:val="00986C28"/>
    <w:rsid w:val="00990D13"/>
    <w:rsid w:val="00991E76"/>
    <w:rsid w:val="00993145"/>
    <w:rsid w:val="00994094"/>
    <w:rsid w:val="00994AB9"/>
    <w:rsid w:val="009950A3"/>
    <w:rsid w:val="009957A3"/>
    <w:rsid w:val="00995EF6"/>
    <w:rsid w:val="00996AC4"/>
    <w:rsid w:val="009A0092"/>
    <w:rsid w:val="009A0EDB"/>
    <w:rsid w:val="009A162A"/>
    <w:rsid w:val="009A223D"/>
    <w:rsid w:val="009A2BC5"/>
    <w:rsid w:val="009A3EFF"/>
    <w:rsid w:val="009A48F5"/>
    <w:rsid w:val="009A48FC"/>
    <w:rsid w:val="009A4FCD"/>
    <w:rsid w:val="009A5EE2"/>
    <w:rsid w:val="009A61C9"/>
    <w:rsid w:val="009B00C3"/>
    <w:rsid w:val="009B0619"/>
    <w:rsid w:val="009B07E0"/>
    <w:rsid w:val="009B0C7C"/>
    <w:rsid w:val="009B102C"/>
    <w:rsid w:val="009B23EE"/>
    <w:rsid w:val="009B26C0"/>
    <w:rsid w:val="009B3BB2"/>
    <w:rsid w:val="009B3C34"/>
    <w:rsid w:val="009B3D6E"/>
    <w:rsid w:val="009B3E96"/>
    <w:rsid w:val="009B3FA8"/>
    <w:rsid w:val="009B4014"/>
    <w:rsid w:val="009B4899"/>
    <w:rsid w:val="009B4B6F"/>
    <w:rsid w:val="009B515D"/>
    <w:rsid w:val="009B5226"/>
    <w:rsid w:val="009B5810"/>
    <w:rsid w:val="009B5F88"/>
    <w:rsid w:val="009B67CB"/>
    <w:rsid w:val="009C20A2"/>
    <w:rsid w:val="009C2ED4"/>
    <w:rsid w:val="009C3122"/>
    <w:rsid w:val="009C3DBF"/>
    <w:rsid w:val="009C58A3"/>
    <w:rsid w:val="009C58ED"/>
    <w:rsid w:val="009C684A"/>
    <w:rsid w:val="009C7352"/>
    <w:rsid w:val="009C7A3D"/>
    <w:rsid w:val="009D061D"/>
    <w:rsid w:val="009D067D"/>
    <w:rsid w:val="009D118A"/>
    <w:rsid w:val="009D1349"/>
    <w:rsid w:val="009D14F2"/>
    <w:rsid w:val="009D167E"/>
    <w:rsid w:val="009D16B0"/>
    <w:rsid w:val="009D1A6F"/>
    <w:rsid w:val="009D1A95"/>
    <w:rsid w:val="009D351C"/>
    <w:rsid w:val="009D5F86"/>
    <w:rsid w:val="009D65D3"/>
    <w:rsid w:val="009D6709"/>
    <w:rsid w:val="009D7CD7"/>
    <w:rsid w:val="009E0E97"/>
    <w:rsid w:val="009E1AFF"/>
    <w:rsid w:val="009E3CAE"/>
    <w:rsid w:val="009E433E"/>
    <w:rsid w:val="009E5346"/>
    <w:rsid w:val="009E63E5"/>
    <w:rsid w:val="009E6A31"/>
    <w:rsid w:val="009E7436"/>
    <w:rsid w:val="009E751A"/>
    <w:rsid w:val="009E7A30"/>
    <w:rsid w:val="009F0276"/>
    <w:rsid w:val="009F0435"/>
    <w:rsid w:val="009F0E4B"/>
    <w:rsid w:val="009F0E71"/>
    <w:rsid w:val="009F35D6"/>
    <w:rsid w:val="009F3857"/>
    <w:rsid w:val="009F3935"/>
    <w:rsid w:val="009F3E48"/>
    <w:rsid w:val="009F4615"/>
    <w:rsid w:val="009F6405"/>
    <w:rsid w:val="009F6C9D"/>
    <w:rsid w:val="009F7326"/>
    <w:rsid w:val="009F7718"/>
    <w:rsid w:val="009F7E82"/>
    <w:rsid w:val="00A0021B"/>
    <w:rsid w:val="00A01905"/>
    <w:rsid w:val="00A027C9"/>
    <w:rsid w:val="00A028C4"/>
    <w:rsid w:val="00A04270"/>
    <w:rsid w:val="00A04787"/>
    <w:rsid w:val="00A05589"/>
    <w:rsid w:val="00A06A92"/>
    <w:rsid w:val="00A06E23"/>
    <w:rsid w:val="00A0730E"/>
    <w:rsid w:val="00A075D3"/>
    <w:rsid w:val="00A07990"/>
    <w:rsid w:val="00A07996"/>
    <w:rsid w:val="00A07B83"/>
    <w:rsid w:val="00A12A59"/>
    <w:rsid w:val="00A12E0E"/>
    <w:rsid w:val="00A12E4E"/>
    <w:rsid w:val="00A13D42"/>
    <w:rsid w:val="00A14313"/>
    <w:rsid w:val="00A143DE"/>
    <w:rsid w:val="00A14853"/>
    <w:rsid w:val="00A15746"/>
    <w:rsid w:val="00A159ED"/>
    <w:rsid w:val="00A15B45"/>
    <w:rsid w:val="00A15DE2"/>
    <w:rsid w:val="00A16678"/>
    <w:rsid w:val="00A1784A"/>
    <w:rsid w:val="00A2008A"/>
    <w:rsid w:val="00A20814"/>
    <w:rsid w:val="00A212BD"/>
    <w:rsid w:val="00A220EA"/>
    <w:rsid w:val="00A22581"/>
    <w:rsid w:val="00A231F1"/>
    <w:rsid w:val="00A2365F"/>
    <w:rsid w:val="00A23736"/>
    <w:rsid w:val="00A2380B"/>
    <w:rsid w:val="00A23A8D"/>
    <w:rsid w:val="00A24172"/>
    <w:rsid w:val="00A25060"/>
    <w:rsid w:val="00A25419"/>
    <w:rsid w:val="00A25808"/>
    <w:rsid w:val="00A258C1"/>
    <w:rsid w:val="00A27719"/>
    <w:rsid w:val="00A31112"/>
    <w:rsid w:val="00A31681"/>
    <w:rsid w:val="00A31822"/>
    <w:rsid w:val="00A31960"/>
    <w:rsid w:val="00A319DB"/>
    <w:rsid w:val="00A31F0D"/>
    <w:rsid w:val="00A32E69"/>
    <w:rsid w:val="00A330CC"/>
    <w:rsid w:val="00A332AE"/>
    <w:rsid w:val="00A336A5"/>
    <w:rsid w:val="00A35124"/>
    <w:rsid w:val="00A35785"/>
    <w:rsid w:val="00A35BEC"/>
    <w:rsid w:val="00A371FB"/>
    <w:rsid w:val="00A372F7"/>
    <w:rsid w:val="00A3768B"/>
    <w:rsid w:val="00A378DA"/>
    <w:rsid w:val="00A37BDF"/>
    <w:rsid w:val="00A37D68"/>
    <w:rsid w:val="00A37D90"/>
    <w:rsid w:val="00A40DA1"/>
    <w:rsid w:val="00A417FF"/>
    <w:rsid w:val="00A42E12"/>
    <w:rsid w:val="00A43202"/>
    <w:rsid w:val="00A447C2"/>
    <w:rsid w:val="00A44ABF"/>
    <w:rsid w:val="00A45734"/>
    <w:rsid w:val="00A461C9"/>
    <w:rsid w:val="00A461F5"/>
    <w:rsid w:val="00A47693"/>
    <w:rsid w:val="00A47D55"/>
    <w:rsid w:val="00A47F1B"/>
    <w:rsid w:val="00A50493"/>
    <w:rsid w:val="00A50ACC"/>
    <w:rsid w:val="00A51206"/>
    <w:rsid w:val="00A51241"/>
    <w:rsid w:val="00A51EFC"/>
    <w:rsid w:val="00A52B83"/>
    <w:rsid w:val="00A52C60"/>
    <w:rsid w:val="00A53868"/>
    <w:rsid w:val="00A54595"/>
    <w:rsid w:val="00A55663"/>
    <w:rsid w:val="00A560BA"/>
    <w:rsid w:val="00A56676"/>
    <w:rsid w:val="00A566AD"/>
    <w:rsid w:val="00A57A04"/>
    <w:rsid w:val="00A57C60"/>
    <w:rsid w:val="00A57CCB"/>
    <w:rsid w:val="00A57DB1"/>
    <w:rsid w:val="00A610BE"/>
    <w:rsid w:val="00A612C8"/>
    <w:rsid w:val="00A61792"/>
    <w:rsid w:val="00A61BFB"/>
    <w:rsid w:val="00A61FB0"/>
    <w:rsid w:val="00A62585"/>
    <w:rsid w:val="00A627C9"/>
    <w:rsid w:val="00A62DBA"/>
    <w:rsid w:val="00A62EB1"/>
    <w:rsid w:val="00A63E3C"/>
    <w:rsid w:val="00A641BD"/>
    <w:rsid w:val="00A64E86"/>
    <w:rsid w:val="00A65210"/>
    <w:rsid w:val="00A65B40"/>
    <w:rsid w:val="00A6720F"/>
    <w:rsid w:val="00A677B1"/>
    <w:rsid w:val="00A71CD4"/>
    <w:rsid w:val="00A71CE3"/>
    <w:rsid w:val="00A72B61"/>
    <w:rsid w:val="00A72EC7"/>
    <w:rsid w:val="00A72F47"/>
    <w:rsid w:val="00A73812"/>
    <w:rsid w:val="00A741DA"/>
    <w:rsid w:val="00A74D7F"/>
    <w:rsid w:val="00A77D90"/>
    <w:rsid w:val="00A81906"/>
    <w:rsid w:val="00A83135"/>
    <w:rsid w:val="00A83DBF"/>
    <w:rsid w:val="00A842B5"/>
    <w:rsid w:val="00A84930"/>
    <w:rsid w:val="00A849D4"/>
    <w:rsid w:val="00A84AC2"/>
    <w:rsid w:val="00A84C96"/>
    <w:rsid w:val="00A852EC"/>
    <w:rsid w:val="00A86059"/>
    <w:rsid w:val="00A86B9B"/>
    <w:rsid w:val="00A86D2C"/>
    <w:rsid w:val="00A87083"/>
    <w:rsid w:val="00A87161"/>
    <w:rsid w:val="00A87CEE"/>
    <w:rsid w:val="00A87E2B"/>
    <w:rsid w:val="00A90B98"/>
    <w:rsid w:val="00A91463"/>
    <w:rsid w:val="00A914DF"/>
    <w:rsid w:val="00A92760"/>
    <w:rsid w:val="00A93332"/>
    <w:rsid w:val="00A947DD"/>
    <w:rsid w:val="00A949B7"/>
    <w:rsid w:val="00A9539B"/>
    <w:rsid w:val="00A95755"/>
    <w:rsid w:val="00A95BF8"/>
    <w:rsid w:val="00A962C9"/>
    <w:rsid w:val="00A97605"/>
    <w:rsid w:val="00A976FB"/>
    <w:rsid w:val="00AA0AA7"/>
    <w:rsid w:val="00AA0B52"/>
    <w:rsid w:val="00AA160C"/>
    <w:rsid w:val="00AA2402"/>
    <w:rsid w:val="00AA2A52"/>
    <w:rsid w:val="00AA364E"/>
    <w:rsid w:val="00AA5348"/>
    <w:rsid w:val="00AA6626"/>
    <w:rsid w:val="00AA6967"/>
    <w:rsid w:val="00AA7400"/>
    <w:rsid w:val="00AB02E9"/>
    <w:rsid w:val="00AB0C44"/>
    <w:rsid w:val="00AB4422"/>
    <w:rsid w:val="00AB470D"/>
    <w:rsid w:val="00AB4AF4"/>
    <w:rsid w:val="00AB4B71"/>
    <w:rsid w:val="00AB514C"/>
    <w:rsid w:val="00AB5985"/>
    <w:rsid w:val="00AB6417"/>
    <w:rsid w:val="00AB6A0B"/>
    <w:rsid w:val="00AB6A36"/>
    <w:rsid w:val="00AC03D6"/>
    <w:rsid w:val="00AC21D2"/>
    <w:rsid w:val="00AC2D65"/>
    <w:rsid w:val="00AC30CA"/>
    <w:rsid w:val="00AC4F05"/>
    <w:rsid w:val="00AC57B7"/>
    <w:rsid w:val="00AC7FB8"/>
    <w:rsid w:val="00AD032B"/>
    <w:rsid w:val="00AD0513"/>
    <w:rsid w:val="00AD124E"/>
    <w:rsid w:val="00AD1F0C"/>
    <w:rsid w:val="00AD2903"/>
    <w:rsid w:val="00AD2E7D"/>
    <w:rsid w:val="00AD382C"/>
    <w:rsid w:val="00AD511C"/>
    <w:rsid w:val="00AD5D44"/>
    <w:rsid w:val="00AD6C36"/>
    <w:rsid w:val="00AD730C"/>
    <w:rsid w:val="00AD7CCD"/>
    <w:rsid w:val="00AD7DD5"/>
    <w:rsid w:val="00AE074F"/>
    <w:rsid w:val="00AE0918"/>
    <w:rsid w:val="00AE11FE"/>
    <w:rsid w:val="00AE153F"/>
    <w:rsid w:val="00AE1DFF"/>
    <w:rsid w:val="00AE208E"/>
    <w:rsid w:val="00AE240D"/>
    <w:rsid w:val="00AE2767"/>
    <w:rsid w:val="00AE2FF7"/>
    <w:rsid w:val="00AE30C6"/>
    <w:rsid w:val="00AE3818"/>
    <w:rsid w:val="00AE3B7B"/>
    <w:rsid w:val="00AE43E2"/>
    <w:rsid w:val="00AE52CD"/>
    <w:rsid w:val="00AE588C"/>
    <w:rsid w:val="00AE5A9D"/>
    <w:rsid w:val="00AE69B1"/>
    <w:rsid w:val="00AE6EEB"/>
    <w:rsid w:val="00AE6F40"/>
    <w:rsid w:val="00AE7BB4"/>
    <w:rsid w:val="00AE7BE1"/>
    <w:rsid w:val="00AF1571"/>
    <w:rsid w:val="00AF1736"/>
    <w:rsid w:val="00AF1D45"/>
    <w:rsid w:val="00AF2EB6"/>
    <w:rsid w:val="00AF34C4"/>
    <w:rsid w:val="00AF350F"/>
    <w:rsid w:val="00AF3AFF"/>
    <w:rsid w:val="00AF4C42"/>
    <w:rsid w:val="00AF5804"/>
    <w:rsid w:val="00AF60E9"/>
    <w:rsid w:val="00AF6146"/>
    <w:rsid w:val="00AF6ABE"/>
    <w:rsid w:val="00AF72A7"/>
    <w:rsid w:val="00AF77BF"/>
    <w:rsid w:val="00AF7E35"/>
    <w:rsid w:val="00B000D5"/>
    <w:rsid w:val="00B010E2"/>
    <w:rsid w:val="00B01BC0"/>
    <w:rsid w:val="00B01F92"/>
    <w:rsid w:val="00B0416F"/>
    <w:rsid w:val="00B041D7"/>
    <w:rsid w:val="00B06E33"/>
    <w:rsid w:val="00B0709E"/>
    <w:rsid w:val="00B07370"/>
    <w:rsid w:val="00B075B7"/>
    <w:rsid w:val="00B104F4"/>
    <w:rsid w:val="00B10B61"/>
    <w:rsid w:val="00B11C80"/>
    <w:rsid w:val="00B11E94"/>
    <w:rsid w:val="00B13219"/>
    <w:rsid w:val="00B13A09"/>
    <w:rsid w:val="00B13D73"/>
    <w:rsid w:val="00B14084"/>
    <w:rsid w:val="00B150CA"/>
    <w:rsid w:val="00B156CC"/>
    <w:rsid w:val="00B202DE"/>
    <w:rsid w:val="00B204B0"/>
    <w:rsid w:val="00B215B7"/>
    <w:rsid w:val="00B22277"/>
    <w:rsid w:val="00B2244A"/>
    <w:rsid w:val="00B22A99"/>
    <w:rsid w:val="00B22CE7"/>
    <w:rsid w:val="00B23C2E"/>
    <w:rsid w:val="00B24C44"/>
    <w:rsid w:val="00B25C0F"/>
    <w:rsid w:val="00B262AF"/>
    <w:rsid w:val="00B2715F"/>
    <w:rsid w:val="00B27578"/>
    <w:rsid w:val="00B27B34"/>
    <w:rsid w:val="00B3100B"/>
    <w:rsid w:val="00B322A4"/>
    <w:rsid w:val="00B328E0"/>
    <w:rsid w:val="00B32B1A"/>
    <w:rsid w:val="00B337B8"/>
    <w:rsid w:val="00B356AF"/>
    <w:rsid w:val="00B3759A"/>
    <w:rsid w:val="00B37B16"/>
    <w:rsid w:val="00B4043E"/>
    <w:rsid w:val="00B40973"/>
    <w:rsid w:val="00B41936"/>
    <w:rsid w:val="00B429DE"/>
    <w:rsid w:val="00B429EC"/>
    <w:rsid w:val="00B44663"/>
    <w:rsid w:val="00B45BBD"/>
    <w:rsid w:val="00B45BF3"/>
    <w:rsid w:val="00B465D2"/>
    <w:rsid w:val="00B46AC0"/>
    <w:rsid w:val="00B4715A"/>
    <w:rsid w:val="00B507C9"/>
    <w:rsid w:val="00B514AA"/>
    <w:rsid w:val="00B5167E"/>
    <w:rsid w:val="00B53416"/>
    <w:rsid w:val="00B55D6E"/>
    <w:rsid w:val="00B5629A"/>
    <w:rsid w:val="00B568C5"/>
    <w:rsid w:val="00B5744B"/>
    <w:rsid w:val="00B5772F"/>
    <w:rsid w:val="00B57B00"/>
    <w:rsid w:val="00B57DEC"/>
    <w:rsid w:val="00B60C7E"/>
    <w:rsid w:val="00B6134A"/>
    <w:rsid w:val="00B63C2F"/>
    <w:rsid w:val="00B64436"/>
    <w:rsid w:val="00B65136"/>
    <w:rsid w:val="00B65DA4"/>
    <w:rsid w:val="00B67878"/>
    <w:rsid w:val="00B67C61"/>
    <w:rsid w:val="00B67EA8"/>
    <w:rsid w:val="00B67F1F"/>
    <w:rsid w:val="00B71867"/>
    <w:rsid w:val="00B739F7"/>
    <w:rsid w:val="00B73B99"/>
    <w:rsid w:val="00B74BA2"/>
    <w:rsid w:val="00B74D2E"/>
    <w:rsid w:val="00B7528F"/>
    <w:rsid w:val="00B75615"/>
    <w:rsid w:val="00B80198"/>
    <w:rsid w:val="00B80A55"/>
    <w:rsid w:val="00B83388"/>
    <w:rsid w:val="00B835CC"/>
    <w:rsid w:val="00B84AB7"/>
    <w:rsid w:val="00B84F81"/>
    <w:rsid w:val="00B86829"/>
    <w:rsid w:val="00B90AF3"/>
    <w:rsid w:val="00B9171B"/>
    <w:rsid w:val="00B91881"/>
    <w:rsid w:val="00B92D92"/>
    <w:rsid w:val="00B95B3F"/>
    <w:rsid w:val="00B96B67"/>
    <w:rsid w:val="00B96DA9"/>
    <w:rsid w:val="00B971DB"/>
    <w:rsid w:val="00BA029C"/>
    <w:rsid w:val="00BA03BD"/>
    <w:rsid w:val="00BA0701"/>
    <w:rsid w:val="00BA1374"/>
    <w:rsid w:val="00BA1DCA"/>
    <w:rsid w:val="00BA3EB9"/>
    <w:rsid w:val="00BA41B8"/>
    <w:rsid w:val="00BA453F"/>
    <w:rsid w:val="00BA4D0A"/>
    <w:rsid w:val="00BA511A"/>
    <w:rsid w:val="00BA519F"/>
    <w:rsid w:val="00BA53A1"/>
    <w:rsid w:val="00BA69B7"/>
    <w:rsid w:val="00BA6D82"/>
    <w:rsid w:val="00BB077C"/>
    <w:rsid w:val="00BB0951"/>
    <w:rsid w:val="00BB1033"/>
    <w:rsid w:val="00BB120F"/>
    <w:rsid w:val="00BB22F6"/>
    <w:rsid w:val="00BB2DA2"/>
    <w:rsid w:val="00BB3DBE"/>
    <w:rsid w:val="00BB4E62"/>
    <w:rsid w:val="00BB5909"/>
    <w:rsid w:val="00BB5D0E"/>
    <w:rsid w:val="00BB61D9"/>
    <w:rsid w:val="00BB75C5"/>
    <w:rsid w:val="00BB76A6"/>
    <w:rsid w:val="00BB7E12"/>
    <w:rsid w:val="00BB7FF6"/>
    <w:rsid w:val="00BC0E27"/>
    <w:rsid w:val="00BC1152"/>
    <w:rsid w:val="00BC19D0"/>
    <w:rsid w:val="00BC2A6C"/>
    <w:rsid w:val="00BC3DAC"/>
    <w:rsid w:val="00BC3E0C"/>
    <w:rsid w:val="00BC43D7"/>
    <w:rsid w:val="00BC4EA5"/>
    <w:rsid w:val="00BC50E8"/>
    <w:rsid w:val="00BC55AA"/>
    <w:rsid w:val="00BC6A7C"/>
    <w:rsid w:val="00BC72A7"/>
    <w:rsid w:val="00BC754E"/>
    <w:rsid w:val="00BC79AC"/>
    <w:rsid w:val="00BC7E8F"/>
    <w:rsid w:val="00BD0A8F"/>
    <w:rsid w:val="00BD0AD0"/>
    <w:rsid w:val="00BD30DC"/>
    <w:rsid w:val="00BD3859"/>
    <w:rsid w:val="00BD515D"/>
    <w:rsid w:val="00BD5586"/>
    <w:rsid w:val="00BD5950"/>
    <w:rsid w:val="00BD5C30"/>
    <w:rsid w:val="00BD6076"/>
    <w:rsid w:val="00BD7478"/>
    <w:rsid w:val="00BD74A4"/>
    <w:rsid w:val="00BD7D5D"/>
    <w:rsid w:val="00BD7EA9"/>
    <w:rsid w:val="00BE0308"/>
    <w:rsid w:val="00BE0534"/>
    <w:rsid w:val="00BE0724"/>
    <w:rsid w:val="00BE0FED"/>
    <w:rsid w:val="00BE153F"/>
    <w:rsid w:val="00BE18B1"/>
    <w:rsid w:val="00BE3AFA"/>
    <w:rsid w:val="00BE4E13"/>
    <w:rsid w:val="00BE4E80"/>
    <w:rsid w:val="00BE52D5"/>
    <w:rsid w:val="00BF0457"/>
    <w:rsid w:val="00BF1905"/>
    <w:rsid w:val="00BF1B9B"/>
    <w:rsid w:val="00BF34A6"/>
    <w:rsid w:val="00BF4816"/>
    <w:rsid w:val="00BF4D29"/>
    <w:rsid w:val="00BF75E7"/>
    <w:rsid w:val="00BF7BAB"/>
    <w:rsid w:val="00C0027A"/>
    <w:rsid w:val="00C0236A"/>
    <w:rsid w:val="00C0285D"/>
    <w:rsid w:val="00C0774E"/>
    <w:rsid w:val="00C07A62"/>
    <w:rsid w:val="00C10C31"/>
    <w:rsid w:val="00C11421"/>
    <w:rsid w:val="00C12372"/>
    <w:rsid w:val="00C137BB"/>
    <w:rsid w:val="00C14153"/>
    <w:rsid w:val="00C14649"/>
    <w:rsid w:val="00C15A5D"/>
    <w:rsid w:val="00C172B2"/>
    <w:rsid w:val="00C17C68"/>
    <w:rsid w:val="00C17F6D"/>
    <w:rsid w:val="00C201AF"/>
    <w:rsid w:val="00C205EC"/>
    <w:rsid w:val="00C2131B"/>
    <w:rsid w:val="00C220A6"/>
    <w:rsid w:val="00C222D1"/>
    <w:rsid w:val="00C22ED5"/>
    <w:rsid w:val="00C23B43"/>
    <w:rsid w:val="00C23EA1"/>
    <w:rsid w:val="00C23EEB"/>
    <w:rsid w:val="00C2524F"/>
    <w:rsid w:val="00C252FC"/>
    <w:rsid w:val="00C26D92"/>
    <w:rsid w:val="00C30F35"/>
    <w:rsid w:val="00C3147E"/>
    <w:rsid w:val="00C31679"/>
    <w:rsid w:val="00C31BA6"/>
    <w:rsid w:val="00C32757"/>
    <w:rsid w:val="00C33624"/>
    <w:rsid w:val="00C33674"/>
    <w:rsid w:val="00C3509C"/>
    <w:rsid w:val="00C355A8"/>
    <w:rsid w:val="00C40C67"/>
    <w:rsid w:val="00C4130D"/>
    <w:rsid w:val="00C41D22"/>
    <w:rsid w:val="00C42069"/>
    <w:rsid w:val="00C42B5F"/>
    <w:rsid w:val="00C42CC2"/>
    <w:rsid w:val="00C43B23"/>
    <w:rsid w:val="00C43F75"/>
    <w:rsid w:val="00C44223"/>
    <w:rsid w:val="00C463C9"/>
    <w:rsid w:val="00C470AB"/>
    <w:rsid w:val="00C5090D"/>
    <w:rsid w:val="00C51854"/>
    <w:rsid w:val="00C524FD"/>
    <w:rsid w:val="00C531F3"/>
    <w:rsid w:val="00C5459D"/>
    <w:rsid w:val="00C548F3"/>
    <w:rsid w:val="00C54C92"/>
    <w:rsid w:val="00C553F3"/>
    <w:rsid w:val="00C55590"/>
    <w:rsid w:val="00C55D19"/>
    <w:rsid w:val="00C56194"/>
    <w:rsid w:val="00C56B3C"/>
    <w:rsid w:val="00C57318"/>
    <w:rsid w:val="00C57C14"/>
    <w:rsid w:val="00C57EF5"/>
    <w:rsid w:val="00C6132F"/>
    <w:rsid w:val="00C616DA"/>
    <w:rsid w:val="00C61D5B"/>
    <w:rsid w:val="00C626E6"/>
    <w:rsid w:val="00C638FC"/>
    <w:rsid w:val="00C64568"/>
    <w:rsid w:val="00C6638D"/>
    <w:rsid w:val="00C66F01"/>
    <w:rsid w:val="00C674EB"/>
    <w:rsid w:val="00C70BFC"/>
    <w:rsid w:val="00C71C1A"/>
    <w:rsid w:val="00C71E17"/>
    <w:rsid w:val="00C71F9A"/>
    <w:rsid w:val="00C72632"/>
    <w:rsid w:val="00C730E4"/>
    <w:rsid w:val="00C7331F"/>
    <w:rsid w:val="00C73BD8"/>
    <w:rsid w:val="00C741EC"/>
    <w:rsid w:val="00C74337"/>
    <w:rsid w:val="00C7450D"/>
    <w:rsid w:val="00C7546A"/>
    <w:rsid w:val="00C75768"/>
    <w:rsid w:val="00C75F44"/>
    <w:rsid w:val="00C761F6"/>
    <w:rsid w:val="00C7696D"/>
    <w:rsid w:val="00C7699E"/>
    <w:rsid w:val="00C807D3"/>
    <w:rsid w:val="00C8358F"/>
    <w:rsid w:val="00C851D6"/>
    <w:rsid w:val="00C85612"/>
    <w:rsid w:val="00C867E0"/>
    <w:rsid w:val="00C87091"/>
    <w:rsid w:val="00C87838"/>
    <w:rsid w:val="00C87ADA"/>
    <w:rsid w:val="00C9060F"/>
    <w:rsid w:val="00C9079B"/>
    <w:rsid w:val="00C90B58"/>
    <w:rsid w:val="00C91229"/>
    <w:rsid w:val="00C918D6"/>
    <w:rsid w:val="00C919C5"/>
    <w:rsid w:val="00C92D93"/>
    <w:rsid w:val="00C93C70"/>
    <w:rsid w:val="00C93CDE"/>
    <w:rsid w:val="00C942C3"/>
    <w:rsid w:val="00C95FC0"/>
    <w:rsid w:val="00C974C6"/>
    <w:rsid w:val="00CA080B"/>
    <w:rsid w:val="00CA13F2"/>
    <w:rsid w:val="00CA1400"/>
    <w:rsid w:val="00CA1DA4"/>
    <w:rsid w:val="00CA20A1"/>
    <w:rsid w:val="00CA2284"/>
    <w:rsid w:val="00CA3405"/>
    <w:rsid w:val="00CA4B73"/>
    <w:rsid w:val="00CA56E1"/>
    <w:rsid w:val="00CA5E01"/>
    <w:rsid w:val="00CA71DE"/>
    <w:rsid w:val="00CA7478"/>
    <w:rsid w:val="00CB0A89"/>
    <w:rsid w:val="00CB0F0C"/>
    <w:rsid w:val="00CB1D49"/>
    <w:rsid w:val="00CB27A5"/>
    <w:rsid w:val="00CB2803"/>
    <w:rsid w:val="00CB296B"/>
    <w:rsid w:val="00CB4E27"/>
    <w:rsid w:val="00CB5A47"/>
    <w:rsid w:val="00CB6253"/>
    <w:rsid w:val="00CB6275"/>
    <w:rsid w:val="00CB640E"/>
    <w:rsid w:val="00CB729E"/>
    <w:rsid w:val="00CB7D85"/>
    <w:rsid w:val="00CB7FDF"/>
    <w:rsid w:val="00CC0441"/>
    <w:rsid w:val="00CC2807"/>
    <w:rsid w:val="00CC2C7F"/>
    <w:rsid w:val="00CC3314"/>
    <w:rsid w:val="00CC4652"/>
    <w:rsid w:val="00CC4A43"/>
    <w:rsid w:val="00CC54A9"/>
    <w:rsid w:val="00CC5882"/>
    <w:rsid w:val="00CC5BE8"/>
    <w:rsid w:val="00CC60DC"/>
    <w:rsid w:val="00CC70DD"/>
    <w:rsid w:val="00CC7381"/>
    <w:rsid w:val="00CC7B4A"/>
    <w:rsid w:val="00CD007B"/>
    <w:rsid w:val="00CD062C"/>
    <w:rsid w:val="00CD1860"/>
    <w:rsid w:val="00CD1928"/>
    <w:rsid w:val="00CD206D"/>
    <w:rsid w:val="00CD261B"/>
    <w:rsid w:val="00CD2627"/>
    <w:rsid w:val="00CD3FDB"/>
    <w:rsid w:val="00CD5759"/>
    <w:rsid w:val="00CD5C2D"/>
    <w:rsid w:val="00CD671C"/>
    <w:rsid w:val="00CD6799"/>
    <w:rsid w:val="00CD7545"/>
    <w:rsid w:val="00CE0157"/>
    <w:rsid w:val="00CE1767"/>
    <w:rsid w:val="00CE1EEB"/>
    <w:rsid w:val="00CE26E3"/>
    <w:rsid w:val="00CE2704"/>
    <w:rsid w:val="00CE27DC"/>
    <w:rsid w:val="00CE2DBB"/>
    <w:rsid w:val="00CE4803"/>
    <w:rsid w:val="00CE4DAF"/>
    <w:rsid w:val="00CE5702"/>
    <w:rsid w:val="00CE6C63"/>
    <w:rsid w:val="00CE6D79"/>
    <w:rsid w:val="00CF0A3B"/>
    <w:rsid w:val="00CF0F9D"/>
    <w:rsid w:val="00CF186E"/>
    <w:rsid w:val="00CF1DCE"/>
    <w:rsid w:val="00CF1F52"/>
    <w:rsid w:val="00CF2102"/>
    <w:rsid w:val="00CF435B"/>
    <w:rsid w:val="00CF5FAC"/>
    <w:rsid w:val="00CF69DD"/>
    <w:rsid w:val="00CF6D8C"/>
    <w:rsid w:val="00CF6EA6"/>
    <w:rsid w:val="00CF6F56"/>
    <w:rsid w:val="00CF6FDC"/>
    <w:rsid w:val="00D00253"/>
    <w:rsid w:val="00D0025B"/>
    <w:rsid w:val="00D0028F"/>
    <w:rsid w:val="00D00CFC"/>
    <w:rsid w:val="00D017E2"/>
    <w:rsid w:val="00D01CE0"/>
    <w:rsid w:val="00D023EB"/>
    <w:rsid w:val="00D05E71"/>
    <w:rsid w:val="00D061A4"/>
    <w:rsid w:val="00D0627D"/>
    <w:rsid w:val="00D066B6"/>
    <w:rsid w:val="00D071F8"/>
    <w:rsid w:val="00D07D33"/>
    <w:rsid w:val="00D12B33"/>
    <w:rsid w:val="00D13396"/>
    <w:rsid w:val="00D13B7F"/>
    <w:rsid w:val="00D14A42"/>
    <w:rsid w:val="00D15534"/>
    <w:rsid w:val="00D15D05"/>
    <w:rsid w:val="00D168CE"/>
    <w:rsid w:val="00D16F82"/>
    <w:rsid w:val="00D17256"/>
    <w:rsid w:val="00D17931"/>
    <w:rsid w:val="00D17F93"/>
    <w:rsid w:val="00D20DCF"/>
    <w:rsid w:val="00D20F4B"/>
    <w:rsid w:val="00D213A8"/>
    <w:rsid w:val="00D2146C"/>
    <w:rsid w:val="00D227CD"/>
    <w:rsid w:val="00D227E2"/>
    <w:rsid w:val="00D23A53"/>
    <w:rsid w:val="00D243B4"/>
    <w:rsid w:val="00D24431"/>
    <w:rsid w:val="00D24706"/>
    <w:rsid w:val="00D2649D"/>
    <w:rsid w:val="00D32E74"/>
    <w:rsid w:val="00D333DA"/>
    <w:rsid w:val="00D33CB2"/>
    <w:rsid w:val="00D355A6"/>
    <w:rsid w:val="00D35961"/>
    <w:rsid w:val="00D376AA"/>
    <w:rsid w:val="00D37A33"/>
    <w:rsid w:val="00D4011F"/>
    <w:rsid w:val="00D40F8C"/>
    <w:rsid w:val="00D41016"/>
    <w:rsid w:val="00D410B8"/>
    <w:rsid w:val="00D41118"/>
    <w:rsid w:val="00D419FC"/>
    <w:rsid w:val="00D4215D"/>
    <w:rsid w:val="00D43421"/>
    <w:rsid w:val="00D435E4"/>
    <w:rsid w:val="00D438BE"/>
    <w:rsid w:val="00D44DA5"/>
    <w:rsid w:val="00D4594F"/>
    <w:rsid w:val="00D45B1A"/>
    <w:rsid w:val="00D46248"/>
    <w:rsid w:val="00D47932"/>
    <w:rsid w:val="00D51000"/>
    <w:rsid w:val="00D51B2F"/>
    <w:rsid w:val="00D521BA"/>
    <w:rsid w:val="00D52492"/>
    <w:rsid w:val="00D53057"/>
    <w:rsid w:val="00D547C9"/>
    <w:rsid w:val="00D56A2A"/>
    <w:rsid w:val="00D574F7"/>
    <w:rsid w:val="00D577D2"/>
    <w:rsid w:val="00D57922"/>
    <w:rsid w:val="00D606F3"/>
    <w:rsid w:val="00D606F4"/>
    <w:rsid w:val="00D608C0"/>
    <w:rsid w:val="00D60A76"/>
    <w:rsid w:val="00D62085"/>
    <w:rsid w:val="00D63799"/>
    <w:rsid w:val="00D6390B"/>
    <w:rsid w:val="00D6405B"/>
    <w:rsid w:val="00D64921"/>
    <w:rsid w:val="00D64C0D"/>
    <w:rsid w:val="00D6537B"/>
    <w:rsid w:val="00D65B71"/>
    <w:rsid w:val="00D67B94"/>
    <w:rsid w:val="00D67CB3"/>
    <w:rsid w:val="00D7057F"/>
    <w:rsid w:val="00D71411"/>
    <w:rsid w:val="00D72207"/>
    <w:rsid w:val="00D7233C"/>
    <w:rsid w:val="00D72918"/>
    <w:rsid w:val="00D7420F"/>
    <w:rsid w:val="00D74789"/>
    <w:rsid w:val="00D74F2C"/>
    <w:rsid w:val="00D7527E"/>
    <w:rsid w:val="00D756ED"/>
    <w:rsid w:val="00D76318"/>
    <w:rsid w:val="00D77F09"/>
    <w:rsid w:val="00D807D0"/>
    <w:rsid w:val="00D827FC"/>
    <w:rsid w:val="00D8389E"/>
    <w:rsid w:val="00D83AC5"/>
    <w:rsid w:val="00D8452B"/>
    <w:rsid w:val="00D84BD6"/>
    <w:rsid w:val="00D87555"/>
    <w:rsid w:val="00D91B83"/>
    <w:rsid w:val="00D920F5"/>
    <w:rsid w:val="00D9282E"/>
    <w:rsid w:val="00D93AD2"/>
    <w:rsid w:val="00D93C3A"/>
    <w:rsid w:val="00D96762"/>
    <w:rsid w:val="00D97A71"/>
    <w:rsid w:val="00D97AE7"/>
    <w:rsid w:val="00DA03ED"/>
    <w:rsid w:val="00DA0801"/>
    <w:rsid w:val="00DA0B81"/>
    <w:rsid w:val="00DA109C"/>
    <w:rsid w:val="00DA185A"/>
    <w:rsid w:val="00DA20BA"/>
    <w:rsid w:val="00DA2382"/>
    <w:rsid w:val="00DA2429"/>
    <w:rsid w:val="00DA362D"/>
    <w:rsid w:val="00DA4678"/>
    <w:rsid w:val="00DA5578"/>
    <w:rsid w:val="00DA5823"/>
    <w:rsid w:val="00DA692E"/>
    <w:rsid w:val="00DA6A2B"/>
    <w:rsid w:val="00DA70E9"/>
    <w:rsid w:val="00DA76A9"/>
    <w:rsid w:val="00DA7E7F"/>
    <w:rsid w:val="00DB2D21"/>
    <w:rsid w:val="00DB3ABE"/>
    <w:rsid w:val="00DB3AE7"/>
    <w:rsid w:val="00DB4D09"/>
    <w:rsid w:val="00DB5830"/>
    <w:rsid w:val="00DB6364"/>
    <w:rsid w:val="00DB6431"/>
    <w:rsid w:val="00DC0146"/>
    <w:rsid w:val="00DC0976"/>
    <w:rsid w:val="00DC0C99"/>
    <w:rsid w:val="00DC1348"/>
    <w:rsid w:val="00DC18DF"/>
    <w:rsid w:val="00DC1A85"/>
    <w:rsid w:val="00DC27BD"/>
    <w:rsid w:val="00DC28C6"/>
    <w:rsid w:val="00DC2DA1"/>
    <w:rsid w:val="00DC3EA4"/>
    <w:rsid w:val="00DC44E9"/>
    <w:rsid w:val="00DC4583"/>
    <w:rsid w:val="00DC461C"/>
    <w:rsid w:val="00DC6088"/>
    <w:rsid w:val="00DC6195"/>
    <w:rsid w:val="00DC664E"/>
    <w:rsid w:val="00DC6AD3"/>
    <w:rsid w:val="00DC6F7E"/>
    <w:rsid w:val="00DC7050"/>
    <w:rsid w:val="00DC7801"/>
    <w:rsid w:val="00DC7A68"/>
    <w:rsid w:val="00DD00B1"/>
    <w:rsid w:val="00DD073C"/>
    <w:rsid w:val="00DD0A4C"/>
    <w:rsid w:val="00DD109A"/>
    <w:rsid w:val="00DD11CA"/>
    <w:rsid w:val="00DD1E74"/>
    <w:rsid w:val="00DD1F62"/>
    <w:rsid w:val="00DD25B7"/>
    <w:rsid w:val="00DD4335"/>
    <w:rsid w:val="00DD4459"/>
    <w:rsid w:val="00DD5695"/>
    <w:rsid w:val="00DD6E4A"/>
    <w:rsid w:val="00DD73C0"/>
    <w:rsid w:val="00DE0A37"/>
    <w:rsid w:val="00DE0F52"/>
    <w:rsid w:val="00DE3000"/>
    <w:rsid w:val="00DE3797"/>
    <w:rsid w:val="00DE3DC9"/>
    <w:rsid w:val="00DE3F2D"/>
    <w:rsid w:val="00DE5532"/>
    <w:rsid w:val="00DE5E4D"/>
    <w:rsid w:val="00DE6CD9"/>
    <w:rsid w:val="00DE6E00"/>
    <w:rsid w:val="00DE7550"/>
    <w:rsid w:val="00DF1D3D"/>
    <w:rsid w:val="00DF1FD9"/>
    <w:rsid w:val="00DF6810"/>
    <w:rsid w:val="00DF6A5A"/>
    <w:rsid w:val="00DF7BC1"/>
    <w:rsid w:val="00DF7E23"/>
    <w:rsid w:val="00E00194"/>
    <w:rsid w:val="00E005AD"/>
    <w:rsid w:val="00E007E6"/>
    <w:rsid w:val="00E00EE3"/>
    <w:rsid w:val="00E01D31"/>
    <w:rsid w:val="00E021AA"/>
    <w:rsid w:val="00E02233"/>
    <w:rsid w:val="00E02B65"/>
    <w:rsid w:val="00E04ABA"/>
    <w:rsid w:val="00E05E19"/>
    <w:rsid w:val="00E062FD"/>
    <w:rsid w:val="00E07011"/>
    <w:rsid w:val="00E0774E"/>
    <w:rsid w:val="00E07BA6"/>
    <w:rsid w:val="00E10658"/>
    <w:rsid w:val="00E11378"/>
    <w:rsid w:val="00E1214E"/>
    <w:rsid w:val="00E12DA2"/>
    <w:rsid w:val="00E133FD"/>
    <w:rsid w:val="00E142CE"/>
    <w:rsid w:val="00E1463F"/>
    <w:rsid w:val="00E1471E"/>
    <w:rsid w:val="00E1507F"/>
    <w:rsid w:val="00E15696"/>
    <w:rsid w:val="00E1596C"/>
    <w:rsid w:val="00E15F37"/>
    <w:rsid w:val="00E170D8"/>
    <w:rsid w:val="00E17DC9"/>
    <w:rsid w:val="00E17FE5"/>
    <w:rsid w:val="00E20F31"/>
    <w:rsid w:val="00E211BE"/>
    <w:rsid w:val="00E22462"/>
    <w:rsid w:val="00E22687"/>
    <w:rsid w:val="00E22873"/>
    <w:rsid w:val="00E22CCB"/>
    <w:rsid w:val="00E23266"/>
    <w:rsid w:val="00E23BE1"/>
    <w:rsid w:val="00E25F0F"/>
    <w:rsid w:val="00E25FD2"/>
    <w:rsid w:val="00E265D4"/>
    <w:rsid w:val="00E27827"/>
    <w:rsid w:val="00E27ABB"/>
    <w:rsid w:val="00E30038"/>
    <w:rsid w:val="00E30672"/>
    <w:rsid w:val="00E306A6"/>
    <w:rsid w:val="00E30ADE"/>
    <w:rsid w:val="00E3149C"/>
    <w:rsid w:val="00E3200A"/>
    <w:rsid w:val="00E325A5"/>
    <w:rsid w:val="00E32CED"/>
    <w:rsid w:val="00E33069"/>
    <w:rsid w:val="00E3337B"/>
    <w:rsid w:val="00E343F2"/>
    <w:rsid w:val="00E35365"/>
    <w:rsid w:val="00E36825"/>
    <w:rsid w:val="00E36CD1"/>
    <w:rsid w:val="00E37251"/>
    <w:rsid w:val="00E37924"/>
    <w:rsid w:val="00E401D9"/>
    <w:rsid w:val="00E40D73"/>
    <w:rsid w:val="00E42F03"/>
    <w:rsid w:val="00E4385C"/>
    <w:rsid w:val="00E44811"/>
    <w:rsid w:val="00E4504C"/>
    <w:rsid w:val="00E454F6"/>
    <w:rsid w:val="00E46263"/>
    <w:rsid w:val="00E504EF"/>
    <w:rsid w:val="00E510B9"/>
    <w:rsid w:val="00E51105"/>
    <w:rsid w:val="00E5175A"/>
    <w:rsid w:val="00E52658"/>
    <w:rsid w:val="00E526D3"/>
    <w:rsid w:val="00E53941"/>
    <w:rsid w:val="00E53A66"/>
    <w:rsid w:val="00E5503C"/>
    <w:rsid w:val="00E555DE"/>
    <w:rsid w:val="00E5667A"/>
    <w:rsid w:val="00E57562"/>
    <w:rsid w:val="00E57865"/>
    <w:rsid w:val="00E60180"/>
    <w:rsid w:val="00E601DE"/>
    <w:rsid w:val="00E61977"/>
    <w:rsid w:val="00E634E1"/>
    <w:rsid w:val="00E63FF9"/>
    <w:rsid w:val="00E65020"/>
    <w:rsid w:val="00E65E9C"/>
    <w:rsid w:val="00E66535"/>
    <w:rsid w:val="00E674AD"/>
    <w:rsid w:val="00E67777"/>
    <w:rsid w:val="00E67EC2"/>
    <w:rsid w:val="00E67FC6"/>
    <w:rsid w:val="00E73119"/>
    <w:rsid w:val="00E75507"/>
    <w:rsid w:val="00E75FB0"/>
    <w:rsid w:val="00E7604F"/>
    <w:rsid w:val="00E7620B"/>
    <w:rsid w:val="00E76B59"/>
    <w:rsid w:val="00E76DE7"/>
    <w:rsid w:val="00E770E6"/>
    <w:rsid w:val="00E77CC5"/>
    <w:rsid w:val="00E800D8"/>
    <w:rsid w:val="00E8046D"/>
    <w:rsid w:val="00E808D6"/>
    <w:rsid w:val="00E81470"/>
    <w:rsid w:val="00E81893"/>
    <w:rsid w:val="00E8256F"/>
    <w:rsid w:val="00E83EC8"/>
    <w:rsid w:val="00E84A3F"/>
    <w:rsid w:val="00E85408"/>
    <w:rsid w:val="00E8781B"/>
    <w:rsid w:val="00E900A5"/>
    <w:rsid w:val="00E908E4"/>
    <w:rsid w:val="00E908F8"/>
    <w:rsid w:val="00E90B67"/>
    <w:rsid w:val="00E90D43"/>
    <w:rsid w:val="00E91356"/>
    <w:rsid w:val="00E935EC"/>
    <w:rsid w:val="00E942BD"/>
    <w:rsid w:val="00E94D8E"/>
    <w:rsid w:val="00E94DC5"/>
    <w:rsid w:val="00E9610D"/>
    <w:rsid w:val="00E96C06"/>
    <w:rsid w:val="00E971FB"/>
    <w:rsid w:val="00E97CA8"/>
    <w:rsid w:val="00EA3540"/>
    <w:rsid w:val="00EA355A"/>
    <w:rsid w:val="00EA4724"/>
    <w:rsid w:val="00EA4837"/>
    <w:rsid w:val="00EA52FD"/>
    <w:rsid w:val="00EA7222"/>
    <w:rsid w:val="00EA77C8"/>
    <w:rsid w:val="00EA79AD"/>
    <w:rsid w:val="00EB12A5"/>
    <w:rsid w:val="00EB1356"/>
    <w:rsid w:val="00EB2777"/>
    <w:rsid w:val="00EB29BD"/>
    <w:rsid w:val="00EB345C"/>
    <w:rsid w:val="00EB45D1"/>
    <w:rsid w:val="00EB4795"/>
    <w:rsid w:val="00EB48A5"/>
    <w:rsid w:val="00EB4D31"/>
    <w:rsid w:val="00EB617F"/>
    <w:rsid w:val="00EB644C"/>
    <w:rsid w:val="00EB689D"/>
    <w:rsid w:val="00EB6CED"/>
    <w:rsid w:val="00EB6EDC"/>
    <w:rsid w:val="00EB7F06"/>
    <w:rsid w:val="00EC01F0"/>
    <w:rsid w:val="00EC1217"/>
    <w:rsid w:val="00EC1BA1"/>
    <w:rsid w:val="00EC24F7"/>
    <w:rsid w:val="00EC33FF"/>
    <w:rsid w:val="00EC35D5"/>
    <w:rsid w:val="00EC3A41"/>
    <w:rsid w:val="00EC42DB"/>
    <w:rsid w:val="00EC5D7C"/>
    <w:rsid w:val="00EC6D1A"/>
    <w:rsid w:val="00EC6F91"/>
    <w:rsid w:val="00EC76C7"/>
    <w:rsid w:val="00EC7D2A"/>
    <w:rsid w:val="00ED0DC4"/>
    <w:rsid w:val="00ED0F41"/>
    <w:rsid w:val="00ED4009"/>
    <w:rsid w:val="00ED5000"/>
    <w:rsid w:val="00ED5065"/>
    <w:rsid w:val="00ED71ED"/>
    <w:rsid w:val="00ED7D34"/>
    <w:rsid w:val="00ED7FB1"/>
    <w:rsid w:val="00EE05BF"/>
    <w:rsid w:val="00EE0CA1"/>
    <w:rsid w:val="00EE2128"/>
    <w:rsid w:val="00EE23F0"/>
    <w:rsid w:val="00EE26AE"/>
    <w:rsid w:val="00EE2957"/>
    <w:rsid w:val="00EE4040"/>
    <w:rsid w:val="00EE4DDB"/>
    <w:rsid w:val="00EE50F2"/>
    <w:rsid w:val="00EE64A8"/>
    <w:rsid w:val="00EF056D"/>
    <w:rsid w:val="00EF2A67"/>
    <w:rsid w:val="00EF6724"/>
    <w:rsid w:val="00EF712B"/>
    <w:rsid w:val="00EF7BFA"/>
    <w:rsid w:val="00EF7E18"/>
    <w:rsid w:val="00F00188"/>
    <w:rsid w:val="00F00C0D"/>
    <w:rsid w:val="00F01FAF"/>
    <w:rsid w:val="00F02699"/>
    <w:rsid w:val="00F02AA2"/>
    <w:rsid w:val="00F03685"/>
    <w:rsid w:val="00F03ACC"/>
    <w:rsid w:val="00F04CD6"/>
    <w:rsid w:val="00F05B39"/>
    <w:rsid w:val="00F06E5B"/>
    <w:rsid w:val="00F06FC2"/>
    <w:rsid w:val="00F10056"/>
    <w:rsid w:val="00F105D3"/>
    <w:rsid w:val="00F1140E"/>
    <w:rsid w:val="00F116F6"/>
    <w:rsid w:val="00F119F5"/>
    <w:rsid w:val="00F14B1D"/>
    <w:rsid w:val="00F14C77"/>
    <w:rsid w:val="00F15516"/>
    <w:rsid w:val="00F15FCA"/>
    <w:rsid w:val="00F16A7D"/>
    <w:rsid w:val="00F17060"/>
    <w:rsid w:val="00F20C39"/>
    <w:rsid w:val="00F21236"/>
    <w:rsid w:val="00F2145F"/>
    <w:rsid w:val="00F2266D"/>
    <w:rsid w:val="00F2302F"/>
    <w:rsid w:val="00F23FEE"/>
    <w:rsid w:val="00F253C6"/>
    <w:rsid w:val="00F25784"/>
    <w:rsid w:val="00F2578B"/>
    <w:rsid w:val="00F25C6A"/>
    <w:rsid w:val="00F26364"/>
    <w:rsid w:val="00F2650A"/>
    <w:rsid w:val="00F27528"/>
    <w:rsid w:val="00F30392"/>
    <w:rsid w:val="00F30726"/>
    <w:rsid w:val="00F308EB"/>
    <w:rsid w:val="00F31A3C"/>
    <w:rsid w:val="00F323AC"/>
    <w:rsid w:val="00F3273C"/>
    <w:rsid w:val="00F33562"/>
    <w:rsid w:val="00F33A5A"/>
    <w:rsid w:val="00F348B7"/>
    <w:rsid w:val="00F34E33"/>
    <w:rsid w:val="00F36775"/>
    <w:rsid w:val="00F36865"/>
    <w:rsid w:val="00F36E08"/>
    <w:rsid w:val="00F36EEA"/>
    <w:rsid w:val="00F36EEB"/>
    <w:rsid w:val="00F40813"/>
    <w:rsid w:val="00F408FE"/>
    <w:rsid w:val="00F40DEA"/>
    <w:rsid w:val="00F41273"/>
    <w:rsid w:val="00F41917"/>
    <w:rsid w:val="00F4259A"/>
    <w:rsid w:val="00F428ED"/>
    <w:rsid w:val="00F438D5"/>
    <w:rsid w:val="00F43F1E"/>
    <w:rsid w:val="00F446A6"/>
    <w:rsid w:val="00F44B84"/>
    <w:rsid w:val="00F44CEF"/>
    <w:rsid w:val="00F44D26"/>
    <w:rsid w:val="00F4518C"/>
    <w:rsid w:val="00F45296"/>
    <w:rsid w:val="00F46465"/>
    <w:rsid w:val="00F46CC0"/>
    <w:rsid w:val="00F46F9A"/>
    <w:rsid w:val="00F4704C"/>
    <w:rsid w:val="00F47255"/>
    <w:rsid w:val="00F5062C"/>
    <w:rsid w:val="00F50C7B"/>
    <w:rsid w:val="00F51509"/>
    <w:rsid w:val="00F5172D"/>
    <w:rsid w:val="00F531AA"/>
    <w:rsid w:val="00F54DFC"/>
    <w:rsid w:val="00F56104"/>
    <w:rsid w:val="00F5647E"/>
    <w:rsid w:val="00F56CFD"/>
    <w:rsid w:val="00F57087"/>
    <w:rsid w:val="00F574DA"/>
    <w:rsid w:val="00F57C97"/>
    <w:rsid w:val="00F601D9"/>
    <w:rsid w:val="00F6043A"/>
    <w:rsid w:val="00F60933"/>
    <w:rsid w:val="00F613B3"/>
    <w:rsid w:val="00F61AD9"/>
    <w:rsid w:val="00F61DA9"/>
    <w:rsid w:val="00F6263A"/>
    <w:rsid w:val="00F63D4D"/>
    <w:rsid w:val="00F646B6"/>
    <w:rsid w:val="00F64F2D"/>
    <w:rsid w:val="00F653AF"/>
    <w:rsid w:val="00F66101"/>
    <w:rsid w:val="00F66174"/>
    <w:rsid w:val="00F66F78"/>
    <w:rsid w:val="00F67A3F"/>
    <w:rsid w:val="00F707FF"/>
    <w:rsid w:val="00F71A4B"/>
    <w:rsid w:val="00F720CF"/>
    <w:rsid w:val="00F7360B"/>
    <w:rsid w:val="00F7453E"/>
    <w:rsid w:val="00F750ED"/>
    <w:rsid w:val="00F752C2"/>
    <w:rsid w:val="00F764FF"/>
    <w:rsid w:val="00F76939"/>
    <w:rsid w:val="00F77A41"/>
    <w:rsid w:val="00F802C9"/>
    <w:rsid w:val="00F80B3A"/>
    <w:rsid w:val="00F8158E"/>
    <w:rsid w:val="00F81A8A"/>
    <w:rsid w:val="00F82A46"/>
    <w:rsid w:val="00F8347B"/>
    <w:rsid w:val="00F834F0"/>
    <w:rsid w:val="00F840A6"/>
    <w:rsid w:val="00F84407"/>
    <w:rsid w:val="00F84E60"/>
    <w:rsid w:val="00F84FFF"/>
    <w:rsid w:val="00F8507C"/>
    <w:rsid w:val="00F857AB"/>
    <w:rsid w:val="00F85A3B"/>
    <w:rsid w:val="00F869D7"/>
    <w:rsid w:val="00F86BDD"/>
    <w:rsid w:val="00F87989"/>
    <w:rsid w:val="00F93011"/>
    <w:rsid w:val="00F93166"/>
    <w:rsid w:val="00F932C1"/>
    <w:rsid w:val="00F93827"/>
    <w:rsid w:val="00F93AA4"/>
    <w:rsid w:val="00F9441F"/>
    <w:rsid w:val="00F95288"/>
    <w:rsid w:val="00F9549B"/>
    <w:rsid w:val="00F966D8"/>
    <w:rsid w:val="00F96F5E"/>
    <w:rsid w:val="00F96F6D"/>
    <w:rsid w:val="00FA1A25"/>
    <w:rsid w:val="00FA5538"/>
    <w:rsid w:val="00FA5813"/>
    <w:rsid w:val="00FA646E"/>
    <w:rsid w:val="00FA7D5A"/>
    <w:rsid w:val="00FA7DD4"/>
    <w:rsid w:val="00FB08D0"/>
    <w:rsid w:val="00FB2189"/>
    <w:rsid w:val="00FB3128"/>
    <w:rsid w:val="00FB3BAE"/>
    <w:rsid w:val="00FB4C46"/>
    <w:rsid w:val="00FB50D9"/>
    <w:rsid w:val="00FB57FF"/>
    <w:rsid w:val="00FB580E"/>
    <w:rsid w:val="00FB5D24"/>
    <w:rsid w:val="00FB6107"/>
    <w:rsid w:val="00FC0BD8"/>
    <w:rsid w:val="00FC0D09"/>
    <w:rsid w:val="00FC136A"/>
    <w:rsid w:val="00FC1B00"/>
    <w:rsid w:val="00FC1F27"/>
    <w:rsid w:val="00FC2793"/>
    <w:rsid w:val="00FC2FE3"/>
    <w:rsid w:val="00FC3BEE"/>
    <w:rsid w:val="00FC417D"/>
    <w:rsid w:val="00FC43CF"/>
    <w:rsid w:val="00FC4765"/>
    <w:rsid w:val="00FC4A56"/>
    <w:rsid w:val="00FC4AA2"/>
    <w:rsid w:val="00FC5B92"/>
    <w:rsid w:val="00FC65FC"/>
    <w:rsid w:val="00FC6D50"/>
    <w:rsid w:val="00FC7848"/>
    <w:rsid w:val="00FC7ED3"/>
    <w:rsid w:val="00FD0E6E"/>
    <w:rsid w:val="00FD1F16"/>
    <w:rsid w:val="00FD2156"/>
    <w:rsid w:val="00FD218E"/>
    <w:rsid w:val="00FD231D"/>
    <w:rsid w:val="00FD2924"/>
    <w:rsid w:val="00FD295B"/>
    <w:rsid w:val="00FD3961"/>
    <w:rsid w:val="00FD5560"/>
    <w:rsid w:val="00FD567F"/>
    <w:rsid w:val="00FD582B"/>
    <w:rsid w:val="00FD5E1B"/>
    <w:rsid w:val="00FD5E50"/>
    <w:rsid w:val="00FD63AC"/>
    <w:rsid w:val="00FD641C"/>
    <w:rsid w:val="00FD7D0D"/>
    <w:rsid w:val="00FE15C0"/>
    <w:rsid w:val="00FE2163"/>
    <w:rsid w:val="00FE2443"/>
    <w:rsid w:val="00FE2820"/>
    <w:rsid w:val="00FE2823"/>
    <w:rsid w:val="00FE3594"/>
    <w:rsid w:val="00FE3B9C"/>
    <w:rsid w:val="00FE3BF1"/>
    <w:rsid w:val="00FE4072"/>
    <w:rsid w:val="00FE41CF"/>
    <w:rsid w:val="00FE4B79"/>
    <w:rsid w:val="00FE525C"/>
    <w:rsid w:val="00FE58E2"/>
    <w:rsid w:val="00FE6340"/>
    <w:rsid w:val="00FE7432"/>
    <w:rsid w:val="00FE799E"/>
    <w:rsid w:val="00FF08CC"/>
    <w:rsid w:val="00FF0A2E"/>
    <w:rsid w:val="00FF0FA9"/>
    <w:rsid w:val="00FF322E"/>
    <w:rsid w:val="00FF485E"/>
    <w:rsid w:val="00FF4F31"/>
    <w:rsid w:val="00FF5929"/>
    <w:rsid w:val="00FF5A12"/>
    <w:rsid w:val="00FF7418"/>
    <w:rsid w:val="00FF7B36"/>
    <w:rsid w:val="00FF7D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4DC392A7"/>
  <w15:chartTrackingRefBased/>
  <w15:docId w15:val="{79AFFBF5-81DD-F344-9F38-369D19A2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4DF"/>
    <w:rPr>
      <w:rFonts w:ascii="Arial" w:eastAsia="Times New Roman" w:hAnsi="Arial" w:cs="Times New Roman"/>
      <w:lang w:eastAsia="en-GB"/>
    </w:rPr>
  </w:style>
  <w:style w:type="paragraph" w:styleId="Heading1">
    <w:name w:val="heading 1"/>
    <w:basedOn w:val="Normal"/>
    <w:next w:val="Normal"/>
    <w:link w:val="Heading1Char"/>
    <w:uiPriority w:val="9"/>
    <w:qFormat/>
    <w:rsid w:val="00324FD2"/>
    <w:pPr>
      <w:keepNext/>
      <w:keepLines/>
      <w:spacing w:before="120" w:after="360" w:line="480" w:lineRule="auto"/>
      <w:outlineLvl w:val="0"/>
    </w:pPr>
    <w:rPr>
      <w:rFonts w:eastAsiaTheme="majorEastAsia" w:cs="Times New Roman (Headings CS)"/>
      <w:b/>
      <w:caps/>
      <w:color w:val="000000" w:themeColor="text1"/>
      <w:szCs w:val="32"/>
    </w:rPr>
  </w:style>
  <w:style w:type="paragraph" w:styleId="Heading2">
    <w:name w:val="heading 2"/>
    <w:basedOn w:val="Normal"/>
    <w:next w:val="Normal"/>
    <w:link w:val="Heading2Char"/>
    <w:uiPriority w:val="9"/>
    <w:unhideWhenUsed/>
    <w:qFormat/>
    <w:rsid w:val="00BA519F"/>
    <w:pPr>
      <w:keepNext/>
      <w:keepLines/>
      <w:spacing w:before="120" w:after="360" w:line="480" w:lineRule="auto"/>
      <w:ind w:left="720"/>
      <w:outlineLvl w:val="1"/>
    </w:pPr>
    <w:rPr>
      <w:rFonts w:eastAsiaTheme="majorEastAsia" w:cs="Times New Roman (Headings CS)"/>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Clause1Head">
    <w:name w:val="XClause1Head"/>
    <w:basedOn w:val="Normal"/>
    <w:rsid w:val="0052167E"/>
    <w:pPr>
      <w:numPr>
        <w:numId w:val="1"/>
      </w:numPr>
      <w:spacing w:before="240" w:after="360" w:line="480" w:lineRule="auto"/>
      <w:jc w:val="both"/>
    </w:pPr>
    <w:rPr>
      <w:rFonts w:ascii="Times New Roman" w:hAnsi="Times New Roman"/>
      <w:szCs w:val="20"/>
      <w:lang w:val="en-GB"/>
    </w:rPr>
  </w:style>
  <w:style w:type="paragraph" w:styleId="Title">
    <w:name w:val="Title"/>
    <w:basedOn w:val="Normal"/>
    <w:link w:val="TitleChar"/>
    <w:qFormat/>
    <w:rsid w:val="000904DF"/>
    <w:pPr>
      <w:jc w:val="center"/>
    </w:pPr>
    <w:rPr>
      <w:b/>
      <w:sz w:val="20"/>
      <w:szCs w:val="20"/>
      <w:lang w:val="x-none" w:eastAsia="ja-JP"/>
    </w:rPr>
  </w:style>
  <w:style w:type="character" w:customStyle="1" w:styleId="TitleChar">
    <w:name w:val="Title Char"/>
    <w:basedOn w:val="DefaultParagraphFont"/>
    <w:link w:val="Title"/>
    <w:rsid w:val="000904DF"/>
    <w:rPr>
      <w:rFonts w:ascii="Arial" w:eastAsia="Times New Roman" w:hAnsi="Arial" w:cs="Times New Roman"/>
      <w:b/>
      <w:sz w:val="20"/>
      <w:szCs w:val="20"/>
      <w:lang w:val="x-none" w:eastAsia="ja-JP"/>
    </w:rPr>
  </w:style>
  <w:style w:type="paragraph" w:styleId="NoSpacing">
    <w:name w:val="No Spacing"/>
    <w:uiPriority w:val="1"/>
    <w:qFormat/>
    <w:rsid w:val="000904DF"/>
    <w:rPr>
      <w:rFonts w:ascii="Times New Roman" w:eastAsia="Times New Roman" w:hAnsi="Times New Roman" w:cs="Times New Roman"/>
      <w:lang w:val="en-GB"/>
    </w:rPr>
  </w:style>
  <w:style w:type="character" w:customStyle="1" w:styleId="Heading1Char">
    <w:name w:val="Heading 1 Char"/>
    <w:basedOn w:val="DefaultParagraphFont"/>
    <w:link w:val="Heading1"/>
    <w:uiPriority w:val="9"/>
    <w:rsid w:val="00324FD2"/>
    <w:rPr>
      <w:rFonts w:ascii="Arial" w:eastAsiaTheme="majorEastAsia" w:hAnsi="Arial" w:cs="Times New Roman (Headings CS)"/>
      <w:b/>
      <w:caps/>
      <w:color w:val="000000" w:themeColor="text1"/>
      <w:szCs w:val="32"/>
      <w:lang w:eastAsia="en-GB"/>
    </w:rPr>
  </w:style>
  <w:style w:type="paragraph" w:styleId="FootnoteText">
    <w:name w:val="footnote text"/>
    <w:aliases w:val="Footnote Text Char1,Footnote Text Char Char,Footnote Text Char1 Char,Footnote Text Char Char Char,Footnote Text Char Char1,Char Char Char,Char Char,Footnote Text Char1 Char1 Char1 Char Char,Footnote Text Cha,Char,Footnote Text Char2,5_G,fn"/>
    <w:basedOn w:val="Normal"/>
    <w:link w:val="FootnoteTextChar"/>
    <w:uiPriority w:val="99"/>
    <w:unhideWhenUsed/>
    <w:qFormat/>
    <w:rsid w:val="004923FC"/>
    <w:pPr>
      <w:ind w:left="284" w:hanging="284"/>
      <w:jc w:val="both"/>
    </w:pPr>
    <w:rPr>
      <w:sz w:val="20"/>
      <w:szCs w:val="20"/>
    </w:rPr>
  </w:style>
  <w:style w:type="character" w:customStyle="1" w:styleId="FootnoteTextChar">
    <w:name w:val="Footnote Text Char"/>
    <w:aliases w:val="Footnote Text Char1 Char1,Footnote Text Char Char Char1,Footnote Text Char1 Char Char,Footnote Text Char Char Char Char,Footnote Text Char Char1 Char,Char Char Char Char,Char Char Char1,Footnote Text Char1 Char1 Char1 Char Char Char"/>
    <w:basedOn w:val="DefaultParagraphFont"/>
    <w:link w:val="FootnoteText"/>
    <w:uiPriority w:val="99"/>
    <w:qFormat/>
    <w:rsid w:val="004923FC"/>
    <w:rPr>
      <w:rFonts w:ascii="Arial" w:eastAsia="Times New Roman" w:hAnsi="Arial" w:cs="Times New Roman"/>
      <w:sz w:val="20"/>
      <w:szCs w:val="20"/>
      <w:lang w:eastAsia="en-GB"/>
    </w:rPr>
  </w:style>
  <w:style w:type="character" w:styleId="FootnoteReference">
    <w:name w:val="footnote reference"/>
    <w:aliases w:val="Footnote Reference + Superscript,Ref,de nota al pie,註腳內容,Appel note de bas de page,Footnotes refss,(NECG) Footnote Reference,fr,Heading 6 Char1,do not use4 Char1,Footnote symbol,Style 12,Footnote,4_G,BL_Footnote Reference,ftref,Ref1,o"/>
    <w:basedOn w:val="DefaultParagraphFont"/>
    <w:uiPriority w:val="99"/>
    <w:unhideWhenUsed/>
    <w:qFormat/>
    <w:rsid w:val="000904DF"/>
    <w:rPr>
      <w:vertAlign w:val="superscript"/>
    </w:rPr>
  </w:style>
  <w:style w:type="character" w:customStyle="1" w:styleId="Heading2Char">
    <w:name w:val="Heading 2 Char"/>
    <w:basedOn w:val="DefaultParagraphFont"/>
    <w:link w:val="Heading2"/>
    <w:uiPriority w:val="9"/>
    <w:rsid w:val="00BA519F"/>
    <w:rPr>
      <w:rFonts w:ascii="Arial" w:eastAsiaTheme="majorEastAsia" w:hAnsi="Arial" w:cs="Times New Roman (Headings CS)"/>
      <w:b/>
      <w:color w:val="000000" w:themeColor="text1"/>
      <w:szCs w:val="26"/>
      <w:lang w:eastAsia="en-GB"/>
    </w:rPr>
  </w:style>
  <w:style w:type="paragraph" w:customStyle="1" w:styleId="LevelN1">
    <w:name w:val="LevelN1"/>
    <w:next w:val="Normal"/>
    <w:uiPriority w:val="99"/>
    <w:rsid w:val="00B337B8"/>
    <w:pPr>
      <w:numPr>
        <w:numId w:val="3"/>
      </w:numPr>
      <w:spacing w:before="120" w:after="120"/>
      <w:jc w:val="both"/>
      <w:outlineLvl w:val="0"/>
    </w:pPr>
    <w:rPr>
      <w:rFonts w:ascii="Arial" w:eastAsia="Times New Roman" w:hAnsi="Arial" w:cs="Times New Roman"/>
      <w:szCs w:val="20"/>
    </w:rPr>
  </w:style>
  <w:style w:type="paragraph" w:customStyle="1" w:styleId="LevelN2">
    <w:name w:val="LevelN2"/>
    <w:next w:val="Normal"/>
    <w:uiPriority w:val="99"/>
    <w:rsid w:val="00B337B8"/>
    <w:pPr>
      <w:widowControl w:val="0"/>
      <w:numPr>
        <w:ilvl w:val="1"/>
        <w:numId w:val="3"/>
      </w:numPr>
      <w:tabs>
        <w:tab w:val="clear" w:pos="1418"/>
        <w:tab w:val="left" w:pos="1440"/>
      </w:tabs>
      <w:spacing w:before="120" w:after="120"/>
      <w:ind w:left="1440" w:hanging="720"/>
      <w:jc w:val="both"/>
    </w:pPr>
    <w:rPr>
      <w:rFonts w:ascii="Arial" w:eastAsia="Times New Roman" w:hAnsi="Arial" w:cs="Times New Roman"/>
      <w:sz w:val="22"/>
      <w:szCs w:val="20"/>
    </w:rPr>
  </w:style>
  <w:style w:type="paragraph" w:customStyle="1" w:styleId="LevelN3">
    <w:name w:val="LevelN3"/>
    <w:next w:val="Normal"/>
    <w:uiPriority w:val="99"/>
    <w:rsid w:val="00B337B8"/>
    <w:pPr>
      <w:widowControl w:val="0"/>
      <w:numPr>
        <w:ilvl w:val="2"/>
        <w:numId w:val="3"/>
      </w:numPr>
      <w:tabs>
        <w:tab w:val="clear" w:pos="2381"/>
        <w:tab w:val="left" w:pos="2520"/>
      </w:tabs>
      <w:spacing w:before="120" w:after="120"/>
      <w:ind w:left="2520" w:hanging="1080"/>
      <w:jc w:val="both"/>
    </w:pPr>
    <w:rPr>
      <w:rFonts w:ascii="Arial" w:eastAsia="Times New Roman" w:hAnsi="Arial" w:cs="Times New Roman"/>
      <w:sz w:val="22"/>
      <w:szCs w:val="20"/>
    </w:rPr>
  </w:style>
  <w:style w:type="paragraph" w:customStyle="1" w:styleId="LevelN4">
    <w:name w:val="LevelN4"/>
    <w:next w:val="Normal"/>
    <w:uiPriority w:val="99"/>
    <w:rsid w:val="00B337B8"/>
    <w:pPr>
      <w:widowControl w:val="0"/>
      <w:numPr>
        <w:ilvl w:val="3"/>
        <w:numId w:val="3"/>
      </w:numPr>
      <w:tabs>
        <w:tab w:val="clear" w:pos="3515"/>
        <w:tab w:val="left" w:pos="3600"/>
      </w:tabs>
      <w:spacing w:before="120" w:after="120"/>
      <w:ind w:left="3600" w:hanging="1080"/>
      <w:jc w:val="both"/>
    </w:pPr>
    <w:rPr>
      <w:rFonts w:ascii="Arial" w:eastAsia="Times New Roman" w:hAnsi="Arial" w:cs="Times New Roman"/>
      <w:sz w:val="22"/>
      <w:szCs w:val="20"/>
    </w:rPr>
  </w:style>
  <w:style w:type="paragraph" w:customStyle="1" w:styleId="LevelN5">
    <w:name w:val="LevelN5"/>
    <w:next w:val="Normal"/>
    <w:uiPriority w:val="99"/>
    <w:rsid w:val="00B337B8"/>
    <w:pPr>
      <w:widowControl w:val="0"/>
      <w:numPr>
        <w:ilvl w:val="4"/>
        <w:numId w:val="3"/>
      </w:numPr>
      <w:tabs>
        <w:tab w:val="clear" w:pos="4876"/>
        <w:tab w:val="left" w:pos="4954"/>
      </w:tabs>
      <w:spacing w:before="120" w:after="120"/>
      <w:ind w:left="4954" w:hanging="1354"/>
      <w:jc w:val="both"/>
    </w:pPr>
    <w:rPr>
      <w:rFonts w:ascii="Arial" w:eastAsia="Times New Roman" w:hAnsi="Arial" w:cs="Times New Roman"/>
      <w:sz w:val="22"/>
      <w:szCs w:val="20"/>
    </w:rPr>
  </w:style>
  <w:style w:type="paragraph" w:customStyle="1" w:styleId="LevelN6">
    <w:name w:val="LevelN6"/>
    <w:next w:val="Normal"/>
    <w:uiPriority w:val="99"/>
    <w:rsid w:val="00B337B8"/>
    <w:pPr>
      <w:widowControl w:val="0"/>
      <w:numPr>
        <w:ilvl w:val="5"/>
        <w:numId w:val="3"/>
      </w:numPr>
      <w:tabs>
        <w:tab w:val="clear" w:pos="6237"/>
        <w:tab w:val="left" w:pos="6480"/>
      </w:tabs>
      <w:spacing w:before="120" w:after="120"/>
      <w:ind w:left="6480" w:hanging="1526"/>
      <w:jc w:val="both"/>
    </w:pPr>
    <w:rPr>
      <w:rFonts w:ascii="Arial" w:eastAsia="Times New Roman" w:hAnsi="Arial" w:cs="Times New Roman"/>
      <w:sz w:val="22"/>
      <w:szCs w:val="20"/>
    </w:rPr>
  </w:style>
  <w:style w:type="paragraph" w:styleId="ListParagraph">
    <w:name w:val="List Paragraph"/>
    <w:aliases w:val="Bullets,List Paragraph 1,List Paragraph1,Table of contents numbered,footer text,Chapter Numbering,Grey Bullet List,Grey Bullet Style,Table bullet,Indent Paragraph,Colorful List - Accent 11,Figure_name,Resume Title,Citation List,lp1,normal"/>
    <w:basedOn w:val="Normal"/>
    <w:link w:val="ListParagraphChar"/>
    <w:uiPriority w:val="34"/>
    <w:qFormat/>
    <w:rsid w:val="00B337B8"/>
    <w:pPr>
      <w:spacing w:before="100" w:beforeAutospacing="1" w:after="100" w:afterAutospacing="1"/>
    </w:pPr>
  </w:style>
  <w:style w:type="character" w:styleId="CommentReference">
    <w:name w:val="annotation reference"/>
    <w:basedOn w:val="DefaultParagraphFont"/>
    <w:uiPriority w:val="99"/>
    <w:semiHidden/>
    <w:unhideWhenUsed/>
    <w:rsid w:val="00B337B8"/>
    <w:rPr>
      <w:sz w:val="16"/>
      <w:szCs w:val="16"/>
    </w:rPr>
  </w:style>
  <w:style w:type="character" w:customStyle="1" w:styleId="ListParagraphChar">
    <w:name w:val="List Paragraph Char"/>
    <w:aliases w:val="Bullets Char,List Paragraph 1 Char,List Paragraph1 Char,Table of contents numbered Char,footer text Char,Chapter Numbering Char,Grey Bullet List Char,Grey Bullet Style Char,Table bullet Char,Indent Paragraph Char,Figure_name Char"/>
    <w:basedOn w:val="DefaultParagraphFont"/>
    <w:link w:val="ListParagraph"/>
    <w:uiPriority w:val="34"/>
    <w:qFormat/>
    <w:locked/>
    <w:rsid w:val="00B337B8"/>
    <w:rPr>
      <w:rFonts w:ascii="Arial" w:eastAsia="Times New Roman" w:hAnsi="Arial" w:cs="Times New Roman"/>
      <w:lang w:eastAsia="en-GB"/>
    </w:rPr>
  </w:style>
  <w:style w:type="paragraph" w:styleId="CommentText">
    <w:name w:val="annotation text"/>
    <w:basedOn w:val="Normal"/>
    <w:link w:val="CommentTextChar"/>
    <w:uiPriority w:val="99"/>
    <w:unhideWhenUsed/>
    <w:rsid w:val="00BD5C30"/>
    <w:rPr>
      <w:sz w:val="20"/>
      <w:szCs w:val="20"/>
    </w:rPr>
  </w:style>
  <w:style w:type="character" w:customStyle="1" w:styleId="CommentTextChar">
    <w:name w:val="Comment Text Char"/>
    <w:basedOn w:val="DefaultParagraphFont"/>
    <w:link w:val="CommentText"/>
    <w:uiPriority w:val="99"/>
    <w:rsid w:val="00BD5C30"/>
    <w:rPr>
      <w:rFonts w:ascii="Arial" w:eastAsia="Times New Roman" w:hAnsi="Arial" w:cs="Times New Roman"/>
      <w:sz w:val="20"/>
      <w:szCs w:val="20"/>
      <w:lang w:eastAsia="en-GB"/>
    </w:rPr>
  </w:style>
  <w:style w:type="character" w:styleId="Hyperlink">
    <w:name w:val="Hyperlink"/>
    <w:basedOn w:val="DefaultParagraphFont"/>
    <w:uiPriority w:val="99"/>
    <w:unhideWhenUsed/>
    <w:rsid w:val="00504B2D"/>
    <w:rPr>
      <w:color w:val="0000FF"/>
      <w:u w:val="single"/>
    </w:rPr>
  </w:style>
  <w:style w:type="character" w:styleId="FollowedHyperlink">
    <w:name w:val="FollowedHyperlink"/>
    <w:basedOn w:val="DefaultParagraphFont"/>
    <w:uiPriority w:val="99"/>
    <w:semiHidden/>
    <w:unhideWhenUsed/>
    <w:rsid w:val="009D1A6F"/>
    <w:rPr>
      <w:color w:val="954F72" w:themeColor="followedHyperlink"/>
      <w:u w:val="single"/>
    </w:rPr>
  </w:style>
  <w:style w:type="character" w:customStyle="1" w:styleId="mc">
    <w:name w:val="mc"/>
    <w:basedOn w:val="DefaultParagraphFont"/>
    <w:rsid w:val="001157DD"/>
  </w:style>
  <w:style w:type="character" w:customStyle="1" w:styleId="g1">
    <w:name w:val="g1"/>
    <w:basedOn w:val="DefaultParagraphFont"/>
    <w:rsid w:val="00B356AF"/>
  </w:style>
  <w:style w:type="paragraph" w:styleId="NormalWeb">
    <w:name w:val="Normal (Web)"/>
    <w:basedOn w:val="Normal"/>
    <w:uiPriority w:val="99"/>
    <w:unhideWhenUsed/>
    <w:rsid w:val="0034424D"/>
    <w:pPr>
      <w:spacing w:before="100" w:beforeAutospacing="1" w:after="100" w:afterAutospacing="1"/>
    </w:pPr>
    <w:rPr>
      <w:rFonts w:ascii="Times New Roman" w:hAnsi="Times New Roman"/>
    </w:rPr>
  </w:style>
  <w:style w:type="paragraph" w:customStyle="1" w:styleId="western">
    <w:name w:val="western"/>
    <w:basedOn w:val="Normal"/>
    <w:rsid w:val="00CD5759"/>
    <w:pPr>
      <w:spacing w:before="100" w:beforeAutospacing="1" w:after="100" w:afterAutospacing="1"/>
    </w:pPr>
    <w:rPr>
      <w:rFonts w:ascii="Times New Roman" w:hAnsi="Times New Roman"/>
    </w:rPr>
  </w:style>
  <w:style w:type="paragraph" w:customStyle="1" w:styleId="Style1">
    <w:name w:val="Style1"/>
    <w:basedOn w:val="Normal"/>
    <w:link w:val="Style1Char"/>
    <w:qFormat/>
    <w:rsid w:val="003B766E"/>
    <w:pPr>
      <w:numPr>
        <w:numId w:val="7"/>
      </w:numPr>
      <w:spacing w:before="120" w:after="360" w:line="480" w:lineRule="auto"/>
      <w:jc w:val="both"/>
    </w:pPr>
    <w:rPr>
      <w:rFonts w:ascii="Times New Roman" w:eastAsia="Calibri" w:hAnsi="Times New Roman" w:cs="Arial"/>
      <w:color w:val="000000" w:themeColor="text1"/>
      <w:lang w:eastAsia="en-US"/>
    </w:rPr>
  </w:style>
  <w:style w:type="character" w:customStyle="1" w:styleId="Style1Char">
    <w:name w:val="Style1 Char"/>
    <w:basedOn w:val="DefaultParagraphFont"/>
    <w:link w:val="Style1"/>
    <w:rsid w:val="003B766E"/>
    <w:rPr>
      <w:rFonts w:ascii="Times New Roman" w:eastAsia="Calibri" w:hAnsi="Times New Roman" w:cs="Arial"/>
      <w:color w:val="000000" w:themeColor="text1"/>
    </w:rPr>
  </w:style>
  <w:style w:type="character" w:styleId="Strong">
    <w:name w:val="Strong"/>
    <w:basedOn w:val="DefaultParagraphFont"/>
    <w:uiPriority w:val="22"/>
    <w:qFormat/>
    <w:rsid w:val="00D4594F"/>
    <w:rPr>
      <w:b/>
      <w:bCs/>
    </w:rPr>
  </w:style>
  <w:style w:type="character" w:customStyle="1" w:styleId="t286pc">
    <w:name w:val="t286pc"/>
    <w:basedOn w:val="DefaultParagraphFont"/>
    <w:rsid w:val="00D4594F"/>
  </w:style>
  <w:style w:type="character" w:customStyle="1" w:styleId="ssparacontent">
    <w:name w:val="ss_paracontent"/>
    <w:basedOn w:val="DefaultParagraphFont"/>
    <w:rsid w:val="002E7A2F"/>
  </w:style>
  <w:style w:type="paragraph" w:styleId="Header">
    <w:name w:val="header"/>
    <w:basedOn w:val="Normal"/>
    <w:link w:val="HeaderChar"/>
    <w:uiPriority w:val="99"/>
    <w:unhideWhenUsed/>
    <w:rsid w:val="009C58ED"/>
    <w:pPr>
      <w:tabs>
        <w:tab w:val="center" w:pos="4513"/>
        <w:tab w:val="right" w:pos="9026"/>
      </w:tabs>
    </w:pPr>
  </w:style>
  <w:style w:type="character" w:customStyle="1" w:styleId="HeaderChar">
    <w:name w:val="Header Char"/>
    <w:basedOn w:val="DefaultParagraphFont"/>
    <w:link w:val="Header"/>
    <w:uiPriority w:val="99"/>
    <w:rsid w:val="009C58ED"/>
    <w:rPr>
      <w:rFonts w:ascii="Arial" w:eastAsia="Times New Roman" w:hAnsi="Arial" w:cs="Times New Roman"/>
      <w:lang w:eastAsia="en-GB"/>
    </w:rPr>
  </w:style>
  <w:style w:type="paragraph" w:styleId="Footer">
    <w:name w:val="footer"/>
    <w:basedOn w:val="Normal"/>
    <w:link w:val="FooterChar"/>
    <w:uiPriority w:val="99"/>
    <w:unhideWhenUsed/>
    <w:rsid w:val="009C58ED"/>
    <w:pPr>
      <w:tabs>
        <w:tab w:val="center" w:pos="4513"/>
        <w:tab w:val="right" w:pos="9026"/>
      </w:tabs>
    </w:pPr>
  </w:style>
  <w:style w:type="character" w:customStyle="1" w:styleId="FooterChar">
    <w:name w:val="Footer Char"/>
    <w:basedOn w:val="DefaultParagraphFont"/>
    <w:link w:val="Footer"/>
    <w:uiPriority w:val="99"/>
    <w:rsid w:val="009C58ED"/>
    <w:rPr>
      <w:rFonts w:ascii="Arial" w:eastAsia="Times New Roman" w:hAnsi="Arial" w:cs="Times New Roman"/>
      <w:lang w:eastAsia="en-GB"/>
    </w:rPr>
  </w:style>
  <w:style w:type="character" w:styleId="PageNumber">
    <w:name w:val="page number"/>
    <w:basedOn w:val="DefaultParagraphFont"/>
    <w:uiPriority w:val="99"/>
    <w:semiHidden/>
    <w:unhideWhenUsed/>
    <w:rsid w:val="009C58ED"/>
  </w:style>
  <w:style w:type="paragraph" w:styleId="TOC1">
    <w:name w:val="toc 1"/>
    <w:basedOn w:val="Normal"/>
    <w:next w:val="Normal"/>
    <w:autoRedefine/>
    <w:uiPriority w:val="39"/>
    <w:unhideWhenUsed/>
    <w:rsid w:val="002F6A14"/>
    <w:pPr>
      <w:tabs>
        <w:tab w:val="right" w:leader="dot" w:pos="9060"/>
      </w:tabs>
      <w:spacing w:before="120" w:after="120"/>
    </w:pPr>
    <w:rPr>
      <w:b/>
    </w:rPr>
  </w:style>
  <w:style w:type="paragraph" w:styleId="TOC2">
    <w:name w:val="toc 2"/>
    <w:basedOn w:val="Normal"/>
    <w:next w:val="Normal"/>
    <w:autoRedefine/>
    <w:uiPriority w:val="39"/>
    <w:unhideWhenUsed/>
    <w:rsid w:val="006435D8"/>
    <w:pPr>
      <w:spacing w:before="120" w:after="120"/>
      <w:ind w:left="284" w:right="284"/>
    </w:pPr>
  </w:style>
  <w:style w:type="paragraph" w:styleId="TOC3">
    <w:name w:val="toc 3"/>
    <w:basedOn w:val="Normal"/>
    <w:next w:val="Normal"/>
    <w:autoRedefine/>
    <w:uiPriority w:val="39"/>
    <w:semiHidden/>
    <w:unhideWhenUsed/>
    <w:rsid w:val="006435D8"/>
    <w:pPr>
      <w:spacing w:before="120" w:after="120"/>
      <w:ind w:left="482"/>
    </w:pPr>
  </w:style>
  <w:style w:type="numbering" w:customStyle="1" w:styleId="CurrentList1">
    <w:name w:val="Current List1"/>
    <w:uiPriority w:val="99"/>
    <w:rsid w:val="00664A3B"/>
    <w:pPr>
      <w:numPr>
        <w:numId w:val="9"/>
      </w:numPr>
    </w:pPr>
  </w:style>
  <w:style w:type="numbering" w:customStyle="1" w:styleId="CurrentList2">
    <w:name w:val="Current List2"/>
    <w:uiPriority w:val="99"/>
    <w:rsid w:val="00F03685"/>
    <w:pPr>
      <w:numPr>
        <w:numId w:val="10"/>
      </w:numPr>
    </w:pPr>
  </w:style>
  <w:style w:type="numbering" w:customStyle="1" w:styleId="CurrentList3">
    <w:name w:val="Current List3"/>
    <w:uiPriority w:val="99"/>
    <w:rsid w:val="00F03685"/>
    <w:pPr>
      <w:numPr>
        <w:numId w:val="11"/>
      </w:numPr>
    </w:pPr>
  </w:style>
  <w:style w:type="numbering" w:customStyle="1" w:styleId="CurrentList4">
    <w:name w:val="Current List4"/>
    <w:uiPriority w:val="99"/>
    <w:rsid w:val="00F03685"/>
    <w:pPr>
      <w:numPr>
        <w:numId w:val="12"/>
      </w:numPr>
    </w:pPr>
  </w:style>
  <w:style w:type="numbering" w:customStyle="1" w:styleId="CurrentList5">
    <w:name w:val="Current List5"/>
    <w:uiPriority w:val="99"/>
    <w:rsid w:val="00F03685"/>
    <w:pPr>
      <w:numPr>
        <w:numId w:val="13"/>
      </w:numPr>
    </w:pPr>
  </w:style>
  <w:style w:type="numbering" w:customStyle="1" w:styleId="CurrentList6">
    <w:name w:val="Current List6"/>
    <w:uiPriority w:val="99"/>
    <w:rsid w:val="00A86059"/>
    <w:pPr>
      <w:numPr>
        <w:numId w:val="14"/>
      </w:numPr>
    </w:pPr>
  </w:style>
  <w:style w:type="numbering" w:customStyle="1" w:styleId="CurrentList7">
    <w:name w:val="Current List7"/>
    <w:uiPriority w:val="99"/>
    <w:rsid w:val="00A86059"/>
    <w:pPr>
      <w:numPr>
        <w:numId w:val="15"/>
      </w:numPr>
    </w:pPr>
  </w:style>
  <w:style w:type="paragraph" w:customStyle="1" w:styleId="pageno">
    <w:name w:val="pageno"/>
    <w:basedOn w:val="Normal"/>
    <w:rsid w:val="000D478E"/>
    <w:pPr>
      <w:spacing w:before="100" w:beforeAutospacing="1" w:after="100" w:afterAutospacing="1"/>
    </w:pPr>
    <w:rPr>
      <w:rFonts w:ascii="Times New Roman" w:hAnsi="Times New Roman"/>
    </w:rPr>
  </w:style>
  <w:style w:type="paragraph" w:customStyle="1" w:styleId="lrjudgecont">
    <w:name w:val="lrjudgecont"/>
    <w:basedOn w:val="Normal"/>
    <w:rsid w:val="000D478E"/>
    <w:pPr>
      <w:spacing w:before="100" w:beforeAutospacing="1" w:after="100" w:afterAutospacing="1"/>
    </w:pPr>
    <w:rPr>
      <w:rFonts w:ascii="Times New Roman" w:hAnsi="Times New Roman"/>
    </w:rPr>
  </w:style>
  <w:style w:type="paragraph" w:customStyle="1" w:styleId="lrpara11lvl1hang">
    <w:name w:val="lrpara11lvl1hang"/>
    <w:basedOn w:val="Normal"/>
    <w:rsid w:val="000D478E"/>
    <w:pPr>
      <w:spacing w:before="100" w:beforeAutospacing="1" w:after="100" w:afterAutospacing="1"/>
    </w:pPr>
    <w:rPr>
      <w:rFonts w:ascii="Times New Roman" w:hAnsi="Times New Roman"/>
    </w:rPr>
  </w:style>
  <w:style w:type="character" w:customStyle="1" w:styleId="footnoteanchor">
    <w:name w:val="footnoteanchor"/>
    <w:basedOn w:val="DefaultParagraphFont"/>
    <w:rsid w:val="005C5929"/>
  </w:style>
  <w:style w:type="paragraph" w:customStyle="1" w:styleId="lrpara">
    <w:name w:val="lrpara"/>
    <w:basedOn w:val="Normal"/>
    <w:rsid w:val="00495B8A"/>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393065"/>
    <w:rPr>
      <w:i/>
      <w:iCs/>
    </w:rPr>
  </w:style>
  <w:style w:type="character" w:customStyle="1" w:styleId="apple-converted-space">
    <w:name w:val="apple-converted-space"/>
    <w:basedOn w:val="DefaultParagraphFont"/>
    <w:rsid w:val="006B50BE"/>
  </w:style>
  <w:style w:type="paragraph" w:customStyle="1" w:styleId="df3vjf">
    <w:name w:val="df3vjf"/>
    <w:basedOn w:val="Normal"/>
    <w:rsid w:val="00DF7E23"/>
    <w:pPr>
      <w:spacing w:before="100" w:beforeAutospacing="1" w:after="100" w:afterAutospacing="1"/>
    </w:pPr>
    <w:rPr>
      <w:rFonts w:ascii="Times New Roman" w:hAnsi="Times New Roman"/>
    </w:rPr>
  </w:style>
  <w:style w:type="character" w:customStyle="1" w:styleId="vkekvd">
    <w:name w:val="vkekvd"/>
    <w:basedOn w:val="DefaultParagraphFont"/>
    <w:rsid w:val="00DF7E23"/>
  </w:style>
  <w:style w:type="character" w:customStyle="1" w:styleId="ssbf">
    <w:name w:val="ss_bf"/>
    <w:basedOn w:val="DefaultParagraphFont"/>
    <w:rsid w:val="00096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2073">
      <w:bodyDiv w:val="1"/>
      <w:marLeft w:val="0"/>
      <w:marRight w:val="0"/>
      <w:marTop w:val="0"/>
      <w:marBottom w:val="0"/>
      <w:divBdr>
        <w:top w:val="none" w:sz="0" w:space="0" w:color="auto"/>
        <w:left w:val="none" w:sz="0" w:space="0" w:color="auto"/>
        <w:bottom w:val="none" w:sz="0" w:space="0" w:color="auto"/>
        <w:right w:val="none" w:sz="0" w:space="0" w:color="auto"/>
      </w:divBdr>
    </w:div>
    <w:div w:id="343216738">
      <w:bodyDiv w:val="1"/>
      <w:marLeft w:val="0"/>
      <w:marRight w:val="0"/>
      <w:marTop w:val="0"/>
      <w:marBottom w:val="0"/>
      <w:divBdr>
        <w:top w:val="none" w:sz="0" w:space="0" w:color="auto"/>
        <w:left w:val="none" w:sz="0" w:space="0" w:color="auto"/>
        <w:bottom w:val="none" w:sz="0" w:space="0" w:color="auto"/>
        <w:right w:val="none" w:sz="0" w:space="0" w:color="auto"/>
      </w:divBdr>
    </w:div>
    <w:div w:id="376972327">
      <w:bodyDiv w:val="1"/>
      <w:marLeft w:val="0"/>
      <w:marRight w:val="0"/>
      <w:marTop w:val="0"/>
      <w:marBottom w:val="0"/>
      <w:divBdr>
        <w:top w:val="none" w:sz="0" w:space="0" w:color="auto"/>
        <w:left w:val="none" w:sz="0" w:space="0" w:color="auto"/>
        <w:bottom w:val="none" w:sz="0" w:space="0" w:color="auto"/>
        <w:right w:val="none" w:sz="0" w:space="0" w:color="auto"/>
      </w:divBdr>
      <w:divsChild>
        <w:div w:id="197817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964526">
      <w:bodyDiv w:val="1"/>
      <w:marLeft w:val="0"/>
      <w:marRight w:val="0"/>
      <w:marTop w:val="0"/>
      <w:marBottom w:val="0"/>
      <w:divBdr>
        <w:top w:val="none" w:sz="0" w:space="0" w:color="auto"/>
        <w:left w:val="none" w:sz="0" w:space="0" w:color="auto"/>
        <w:bottom w:val="none" w:sz="0" w:space="0" w:color="auto"/>
        <w:right w:val="none" w:sz="0" w:space="0" w:color="auto"/>
      </w:divBdr>
      <w:divsChild>
        <w:div w:id="1998260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0370159">
      <w:bodyDiv w:val="1"/>
      <w:marLeft w:val="0"/>
      <w:marRight w:val="0"/>
      <w:marTop w:val="0"/>
      <w:marBottom w:val="0"/>
      <w:divBdr>
        <w:top w:val="none" w:sz="0" w:space="0" w:color="auto"/>
        <w:left w:val="none" w:sz="0" w:space="0" w:color="auto"/>
        <w:bottom w:val="none" w:sz="0" w:space="0" w:color="auto"/>
        <w:right w:val="none" w:sz="0" w:space="0" w:color="auto"/>
      </w:divBdr>
    </w:div>
    <w:div w:id="1065222810">
      <w:bodyDiv w:val="1"/>
      <w:marLeft w:val="0"/>
      <w:marRight w:val="0"/>
      <w:marTop w:val="0"/>
      <w:marBottom w:val="0"/>
      <w:divBdr>
        <w:top w:val="none" w:sz="0" w:space="0" w:color="auto"/>
        <w:left w:val="none" w:sz="0" w:space="0" w:color="auto"/>
        <w:bottom w:val="none" w:sz="0" w:space="0" w:color="auto"/>
        <w:right w:val="none" w:sz="0" w:space="0" w:color="auto"/>
      </w:divBdr>
    </w:div>
    <w:div w:id="1165898023">
      <w:bodyDiv w:val="1"/>
      <w:marLeft w:val="0"/>
      <w:marRight w:val="0"/>
      <w:marTop w:val="0"/>
      <w:marBottom w:val="0"/>
      <w:divBdr>
        <w:top w:val="none" w:sz="0" w:space="0" w:color="auto"/>
        <w:left w:val="none" w:sz="0" w:space="0" w:color="auto"/>
        <w:bottom w:val="none" w:sz="0" w:space="0" w:color="auto"/>
        <w:right w:val="none" w:sz="0" w:space="0" w:color="auto"/>
      </w:divBdr>
    </w:div>
    <w:div w:id="1456752383">
      <w:bodyDiv w:val="1"/>
      <w:marLeft w:val="0"/>
      <w:marRight w:val="0"/>
      <w:marTop w:val="0"/>
      <w:marBottom w:val="0"/>
      <w:divBdr>
        <w:top w:val="none" w:sz="0" w:space="0" w:color="auto"/>
        <w:left w:val="none" w:sz="0" w:space="0" w:color="auto"/>
        <w:bottom w:val="none" w:sz="0" w:space="0" w:color="auto"/>
        <w:right w:val="none" w:sz="0" w:space="0" w:color="auto"/>
      </w:divBdr>
    </w:div>
    <w:div w:id="1731340133">
      <w:bodyDiv w:val="1"/>
      <w:marLeft w:val="0"/>
      <w:marRight w:val="0"/>
      <w:marTop w:val="0"/>
      <w:marBottom w:val="0"/>
      <w:divBdr>
        <w:top w:val="none" w:sz="0" w:space="0" w:color="auto"/>
        <w:left w:val="none" w:sz="0" w:space="0" w:color="auto"/>
        <w:bottom w:val="none" w:sz="0" w:space="0" w:color="auto"/>
        <w:right w:val="none" w:sz="0" w:space="0" w:color="auto"/>
      </w:divBdr>
      <w:divsChild>
        <w:div w:id="187304955">
          <w:marLeft w:val="567"/>
          <w:marRight w:val="0"/>
          <w:marTop w:val="60"/>
          <w:marBottom w:val="0"/>
          <w:divBdr>
            <w:top w:val="none" w:sz="0" w:space="0" w:color="auto"/>
            <w:left w:val="none" w:sz="0" w:space="0" w:color="auto"/>
            <w:bottom w:val="none" w:sz="0" w:space="0" w:color="auto"/>
            <w:right w:val="none" w:sz="0" w:space="0" w:color="auto"/>
          </w:divBdr>
        </w:div>
        <w:div w:id="902981879">
          <w:marLeft w:val="0"/>
          <w:marRight w:val="0"/>
          <w:marTop w:val="120"/>
          <w:marBottom w:val="0"/>
          <w:divBdr>
            <w:top w:val="none" w:sz="0" w:space="0" w:color="auto"/>
            <w:left w:val="none" w:sz="0" w:space="0" w:color="auto"/>
            <w:bottom w:val="none" w:sz="0" w:space="0" w:color="auto"/>
            <w:right w:val="none" w:sz="0" w:space="0" w:color="auto"/>
          </w:divBdr>
        </w:div>
        <w:div w:id="2098790867">
          <w:marLeft w:val="0"/>
          <w:marRight w:val="0"/>
          <w:marTop w:val="120"/>
          <w:marBottom w:val="0"/>
          <w:divBdr>
            <w:top w:val="none" w:sz="0" w:space="0" w:color="auto"/>
            <w:left w:val="none" w:sz="0" w:space="0" w:color="auto"/>
            <w:bottom w:val="none" w:sz="0" w:space="0" w:color="auto"/>
            <w:right w:val="none" w:sz="0" w:space="0" w:color="auto"/>
          </w:divBdr>
        </w:div>
      </w:divsChild>
    </w:div>
    <w:div w:id="2110856380">
      <w:bodyDiv w:val="1"/>
      <w:marLeft w:val="0"/>
      <w:marRight w:val="0"/>
      <w:marTop w:val="0"/>
      <w:marBottom w:val="0"/>
      <w:divBdr>
        <w:top w:val="none" w:sz="0" w:space="0" w:color="auto"/>
        <w:left w:val="none" w:sz="0" w:space="0" w:color="auto"/>
        <w:bottom w:val="none" w:sz="0" w:space="0" w:color="auto"/>
        <w:right w:val="none" w:sz="0" w:space="0" w:color="auto"/>
      </w:divBdr>
      <w:divsChild>
        <w:div w:id="23799150">
          <w:marLeft w:val="0"/>
          <w:marRight w:val="0"/>
          <w:marTop w:val="240"/>
          <w:marBottom w:val="24"/>
          <w:divBdr>
            <w:top w:val="single" w:sz="8" w:space="2" w:color="808080"/>
            <w:left w:val="none" w:sz="0" w:space="0" w:color="auto"/>
            <w:bottom w:val="none" w:sz="0" w:space="0" w:color="auto"/>
            <w:right w:val="none" w:sz="0" w:space="0" w:color="auto"/>
          </w:divBdr>
        </w:div>
        <w:div w:id="1728383263">
          <w:marLeft w:val="0"/>
          <w:marRight w:val="0"/>
          <w:marTop w:val="120"/>
          <w:marBottom w:val="0"/>
          <w:divBdr>
            <w:top w:val="none" w:sz="0" w:space="0" w:color="auto"/>
            <w:left w:val="none" w:sz="0" w:space="0" w:color="auto"/>
            <w:bottom w:val="none" w:sz="0" w:space="0" w:color="auto"/>
            <w:right w:val="none" w:sz="0" w:space="0" w:color="auto"/>
          </w:divBdr>
        </w:div>
        <w:div w:id="1789815148">
          <w:marLeft w:val="0"/>
          <w:marRight w:val="0"/>
          <w:marTop w:val="120"/>
          <w:marBottom w:val="0"/>
          <w:divBdr>
            <w:top w:val="none" w:sz="0" w:space="0" w:color="auto"/>
            <w:left w:val="none" w:sz="0" w:space="0" w:color="auto"/>
            <w:bottom w:val="none" w:sz="0" w:space="0" w:color="auto"/>
            <w:right w:val="none" w:sz="0" w:space="0" w:color="auto"/>
          </w:divBdr>
        </w:div>
        <w:div w:id="198431261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06EBD-DCC2-DA4F-BC8F-C86CEFD5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65</Pages>
  <Words>16562</Words>
  <Characters>82482</Characters>
  <Application>Microsoft Office Word</Application>
  <DocSecurity>0</DocSecurity>
  <Lines>1963</Lines>
  <Paragraphs>630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98414</CharactersWithSpaces>
  <SharedDoc>false</SharedDoc>
  <HLinks>
    <vt:vector size="108" baseType="variant">
      <vt:variant>
        <vt:i4>4653069</vt:i4>
      </vt:variant>
      <vt:variant>
        <vt:i4>96</vt:i4>
      </vt:variant>
      <vt:variant>
        <vt:i4>0</vt:i4>
      </vt:variant>
      <vt:variant>
        <vt:i4>5</vt:i4>
      </vt:variant>
      <vt:variant>
        <vt:lpwstr>https://www.saflii.org/cgi-bin/LawCite?cit=2005%20%281%29%20SA%20217</vt:lpwstr>
      </vt:variant>
      <vt:variant>
        <vt:lpwstr/>
      </vt:variant>
      <vt:variant>
        <vt:i4>2490423</vt:i4>
      </vt:variant>
      <vt:variant>
        <vt:i4>93</vt:i4>
      </vt:variant>
      <vt:variant>
        <vt:i4>0</vt:i4>
      </vt:variant>
      <vt:variant>
        <vt:i4>5</vt:i4>
      </vt:variant>
      <vt:variant>
        <vt:lpwstr>http://www.saflii.org/za/cases/ZACC/2004/7.html</vt:lpwstr>
      </vt:variant>
      <vt:variant>
        <vt:lpwstr/>
      </vt:variant>
      <vt:variant>
        <vt:i4>7733304</vt:i4>
      </vt:variant>
      <vt:variant>
        <vt:i4>90</vt:i4>
      </vt:variant>
      <vt:variant>
        <vt:i4>0</vt:i4>
      </vt:variant>
      <vt:variant>
        <vt:i4>5</vt:i4>
      </vt:variant>
      <vt:variant>
        <vt:lpwstr>https://www.saflii.org/cgi-bin/LawCite?cit=2001%20%281%29%20SA%2046</vt:lpwstr>
      </vt:variant>
      <vt:variant>
        <vt:lpwstr/>
      </vt:variant>
      <vt:variant>
        <vt:i4>4259852</vt:i4>
      </vt:variant>
      <vt:variant>
        <vt:i4>87</vt:i4>
      </vt:variant>
      <vt:variant>
        <vt:i4>0</vt:i4>
      </vt:variant>
      <vt:variant>
        <vt:i4>5</vt:i4>
      </vt:variant>
      <vt:variant>
        <vt:lpwstr>https://www.saflii.org/cgi-bin/LawCite?cit=2010%20%283%29%20SA%20454</vt:lpwstr>
      </vt:variant>
      <vt:variant>
        <vt:lpwstr/>
      </vt:variant>
      <vt:variant>
        <vt:i4>1638454</vt:i4>
      </vt:variant>
      <vt:variant>
        <vt:i4>80</vt:i4>
      </vt:variant>
      <vt:variant>
        <vt:i4>0</vt:i4>
      </vt:variant>
      <vt:variant>
        <vt:i4>5</vt:i4>
      </vt:variant>
      <vt:variant>
        <vt:lpwstr/>
      </vt:variant>
      <vt:variant>
        <vt:lpwstr>_Toc225952470</vt:lpwstr>
      </vt:variant>
      <vt:variant>
        <vt:i4>1572918</vt:i4>
      </vt:variant>
      <vt:variant>
        <vt:i4>74</vt:i4>
      </vt:variant>
      <vt:variant>
        <vt:i4>0</vt:i4>
      </vt:variant>
      <vt:variant>
        <vt:i4>5</vt:i4>
      </vt:variant>
      <vt:variant>
        <vt:lpwstr/>
      </vt:variant>
      <vt:variant>
        <vt:lpwstr>_Toc225952469</vt:lpwstr>
      </vt:variant>
      <vt:variant>
        <vt:i4>1572918</vt:i4>
      </vt:variant>
      <vt:variant>
        <vt:i4>68</vt:i4>
      </vt:variant>
      <vt:variant>
        <vt:i4>0</vt:i4>
      </vt:variant>
      <vt:variant>
        <vt:i4>5</vt:i4>
      </vt:variant>
      <vt:variant>
        <vt:lpwstr/>
      </vt:variant>
      <vt:variant>
        <vt:lpwstr>_Toc225952468</vt:lpwstr>
      </vt:variant>
      <vt:variant>
        <vt:i4>1572918</vt:i4>
      </vt:variant>
      <vt:variant>
        <vt:i4>62</vt:i4>
      </vt:variant>
      <vt:variant>
        <vt:i4>0</vt:i4>
      </vt:variant>
      <vt:variant>
        <vt:i4>5</vt:i4>
      </vt:variant>
      <vt:variant>
        <vt:lpwstr/>
      </vt:variant>
      <vt:variant>
        <vt:lpwstr>_Toc225952467</vt:lpwstr>
      </vt:variant>
      <vt:variant>
        <vt:i4>1572918</vt:i4>
      </vt:variant>
      <vt:variant>
        <vt:i4>56</vt:i4>
      </vt:variant>
      <vt:variant>
        <vt:i4>0</vt:i4>
      </vt:variant>
      <vt:variant>
        <vt:i4>5</vt:i4>
      </vt:variant>
      <vt:variant>
        <vt:lpwstr/>
      </vt:variant>
      <vt:variant>
        <vt:lpwstr>_Toc225952466</vt:lpwstr>
      </vt:variant>
      <vt:variant>
        <vt:i4>1572918</vt:i4>
      </vt:variant>
      <vt:variant>
        <vt:i4>50</vt:i4>
      </vt:variant>
      <vt:variant>
        <vt:i4>0</vt:i4>
      </vt:variant>
      <vt:variant>
        <vt:i4>5</vt:i4>
      </vt:variant>
      <vt:variant>
        <vt:lpwstr/>
      </vt:variant>
      <vt:variant>
        <vt:lpwstr>_Toc225952465</vt:lpwstr>
      </vt:variant>
      <vt:variant>
        <vt:i4>1572918</vt:i4>
      </vt:variant>
      <vt:variant>
        <vt:i4>44</vt:i4>
      </vt:variant>
      <vt:variant>
        <vt:i4>0</vt:i4>
      </vt:variant>
      <vt:variant>
        <vt:i4>5</vt:i4>
      </vt:variant>
      <vt:variant>
        <vt:lpwstr/>
      </vt:variant>
      <vt:variant>
        <vt:lpwstr>_Toc225952464</vt:lpwstr>
      </vt:variant>
      <vt:variant>
        <vt:i4>1572918</vt:i4>
      </vt:variant>
      <vt:variant>
        <vt:i4>38</vt:i4>
      </vt:variant>
      <vt:variant>
        <vt:i4>0</vt:i4>
      </vt:variant>
      <vt:variant>
        <vt:i4>5</vt:i4>
      </vt:variant>
      <vt:variant>
        <vt:lpwstr/>
      </vt:variant>
      <vt:variant>
        <vt:lpwstr>_Toc225952463</vt:lpwstr>
      </vt:variant>
      <vt:variant>
        <vt:i4>1572918</vt:i4>
      </vt:variant>
      <vt:variant>
        <vt:i4>32</vt:i4>
      </vt:variant>
      <vt:variant>
        <vt:i4>0</vt:i4>
      </vt:variant>
      <vt:variant>
        <vt:i4>5</vt:i4>
      </vt:variant>
      <vt:variant>
        <vt:lpwstr/>
      </vt:variant>
      <vt:variant>
        <vt:lpwstr>_Toc225952462</vt:lpwstr>
      </vt:variant>
      <vt:variant>
        <vt:i4>1572918</vt:i4>
      </vt:variant>
      <vt:variant>
        <vt:i4>26</vt:i4>
      </vt:variant>
      <vt:variant>
        <vt:i4>0</vt:i4>
      </vt:variant>
      <vt:variant>
        <vt:i4>5</vt:i4>
      </vt:variant>
      <vt:variant>
        <vt:lpwstr/>
      </vt:variant>
      <vt:variant>
        <vt:lpwstr>_Toc225952461</vt:lpwstr>
      </vt:variant>
      <vt:variant>
        <vt:i4>1572918</vt:i4>
      </vt:variant>
      <vt:variant>
        <vt:i4>20</vt:i4>
      </vt:variant>
      <vt:variant>
        <vt:i4>0</vt:i4>
      </vt:variant>
      <vt:variant>
        <vt:i4>5</vt:i4>
      </vt:variant>
      <vt:variant>
        <vt:lpwstr/>
      </vt:variant>
      <vt:variant>
        <vt:lpwstr>_Toc225952460</vt:lpwstr>
      </vt:variant>
      <vt:variant>
        <vt:i4>1769526</vt:i4>
      </vt:variant>
      <vt:variant>
        <vt:i4>14</vt:i4>
      </vt:variant>
      <vt:variant>
        <vt:i4>0</vt:i4>
      </vt:variant>
      <vt:variant>
        <vt:i4>5</vt:i4>
      </vt:variant>
      <vt:variant>
        <vt:lpwstr/>
      </vt:variant>
      <vt:variant>
        <vt:lpwstr>_Toc225952459</vt:lpwstr>
      </vt:variant>
      <vt:variant>
        <vt:i4>1769526</vt:i4>
      </vt:variant>
      <vt:variant>
        <vt:i4>8</vt:i4>
      </vt:variant>
      <vt:variant>
        <vt:i4>0</vt:i4>
      </vt:variant>
      <vt:variant>
        <vt:i4>5</vt:i4>
      </vt:variant>
      <vt:variant>
        <vt:lpwstr/>
      </vt:variant>
      <vt:variant>
        <vt:lpwstr>_Toc225952458</vt:lpwstr>
      </vt:variant>
      <vt:variant>
        <vt:i4>1769526</vt:i4>
      </vt:variant>
      <vt:variant>
        <vt:i4>2</vt:i4>
      </vt:variant>
      <vt:variant>
        <vt:i4>0</vt:i4>
      </vt:variant>
      <vt:variant>
        <vt:i4>5</vt:i4>
      </vt:variant>
      <vt:variant>
        <vt:lpwstr/>
      </vt:variant>
      <vt:variant>
        <vt:lpwstr>_Toc225952457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Ebrahim</dc:creator>
  <cp:keywords/>
  <dc:description/>
  <cp:lastModifiedBy>Mushahida Adhikari</cp:lastModifiedBy>
  <cp:revision>5</cp:revision>
  <dcterms:created xsi:type="dcterms:W3CDTF">2026-04-02T16:01:00Z</dcterms:created>
  <dcterms:modified xsi:type="dcterms:W3CDTF">2026-04-02T16:03:00Z</dcterms:modified>
</cp:coreProperties>
</file>